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AFA5C" w14:textId="559650E3" w:rsidR="00395B24" w:rsidRDefault="00FD54A7" w:rsidP="00A22932">
      <w:pPr>
        <w:pStyle w:val="CourtTitle"/>
      </w:pPr>
      <w:r>
        <w:fldChar w:fldCharType="begin" w:fldLock="1"/>
      </w:r>
      <w:r>
        <w:instrText xml:space="preserve"> DOCPROPERTY  Court  \* MERGEFORMAT </w:instrText>
      </w:r>
      <w:r>
        <w:fldChar w:fldCharType="separate"/>
      </w:r>
      <w:r w:rsidR="00BE3EBC">
        <w:t>Federal Court of Australia</w:t>
      </w:r>
      <w:r>
        <w:fldChar w:fldCharType="end"/>
      </w:r>
    </w:p>
    <w:p w14:paraId="5140ADD3" w14:textId="77777777" w:rsidR="004D7950" w:rsidRDefault="004D7950">
      <w:pPr>
        <w:pStyle w:val="NormalHeadings"/>
        <w:jc w:val="center"/>
        <w:rPr>
          <w:sz w:val="32"/>
        </w:rPr>
      </w:pPr>
    </w:p>
    <w:bookmarkStart w:id="0" w:name="MNC"/>
    <w:p w14:paraId="39594FB2" w14:textId="24358499" w:rsidR="00374CC4" w:rsidRDefault="00E949E8" w:rsidP="001A2B40">
      <w:pPr>
        <w:pStyle w:val="MNC"/>
      </w:pPr>
      <w:sdt>
        <w:sdtPr>
          <w:alias w:val="MNC"/>
          <w:tag w:val="MNC"/>
          <w:id w:val="343289786"/>
          <w:lock w:val="sdtLocked"/>
          <w:placeholder>
            <w:docPart w:val="4BFF04E473B543CAB19BDF7D1D9ACF93"/>
          </w:placeholder>
          <w:dataBinding w:prefixMappings="xmlns:ns0='http://schemas.globalmacros.com/FCA'" w:xpath="/ns0:root[1]/ns0:Name[1]" w:storeItemID="{687E7CCB-4AA5-44E7-B148-17BA2B6F57C0}"/>
          <w:text w:multiLine="1"/>
        </w:sdtPr>
        <w:sdtEndPr/>
        <w:sdtContent>
          <w:r w:rsidR="00BE3EBC" w:rsidRPr="00BE3EBC">
            <w:t xml:space="preserve">INPEX Operations Australia Pty Ltd v AkzoNobel NV </w:t>
          </w:r>
          <w:r w:rsidR="00BE3EBC">
            <w:t xml:space="preserve">(No </w:t>
          </w:r>
          <w:r w:rsidR="00C5172D">
            <w:t>4</w:t>
          </w:r>
          <w:r w:rsidR="00BE3EBC">
            <w:t xml:space="preserve">) </w:t>
          </w:r>
          <w:r w:rsidR="00BE3EBC" w:rsidRPr="00BE3EBC">
            <w:t>[202</w:t>
          </w:r>
          <w:r w:rsidR="004879F7">
            <w:t>5</w:t>
          </w:r>
          <w:r w:rsidR="00BE3EBC" w:rsidRPr="00BE3EBC">
            <w:t>]</w:t>
          </w:r>
          <w:r w:rsidR="00614C9B">
            <w:t> </w:t>
          </w:r>
          <w:r w:rsidR="00BE3EBC" w:rsidRPr="00BE3EBC">
            <w:t>FCA</w:t>
          </w:r>
          <w:r w:rsidR="00614C9B">
            <w:t> </w:t>
          </w:r>
          <w:r w:rsidR="004879F7">
            <w:t>320</w:t>
          </w:r>
        </w:sdtContent>
      </w:sdt>
      <w:bookmarkEnd w:id="0"/>
    </w:p>
    <w:tbl>
      <w:tblPr>
        <w:tblW w:w="9391" w:type="dxa"/>
        <w:tblLayout w:type="fixed"/>
        <w:tblLook w:val="01E0" w:firstRow="1" w:lastRow="1" w:firstColumn="1" w:lastColumn="1" w:noHBand="0" w:noVBand="0"/>
        <w:tblCaption w:val="Cover Table"/>
        <w:tblDescription w:val="Cover Table"/>
      </w:tblPr>
      <w:tblGrid>
        <w:gridCol w:w="3402"/>
        <w:gridCol w:w="5989"/>
      </w:tblGrid>
      <w:tr w:rsidR="00395B24" w14:paraId="609B66D9" w14:textId="77777777" w:rsidTr="00362134">
        <w:tc>
          <w:tcPr>
            <w:tcW w:w="3402" w:type="dxa"/>
            <w:shd w:val="clear" w:color="auto" w:fill="auto"/>
          </w:tcPr>
          <w:p w14:paraId="79637759" w14:textId="6428ADB3" w:rsidR="00395B24" w:rsidRDefault="002C7385" w:rsidP="00663878">
            <w:pPr>
              <w:pStyle w:val="Normal1linespace"/>
              <w:widowControl w:val="0"/>
              <w:jc w:val="left"/>
            </w:pPr>
            <w:r>
              <w:t>File numbers:</w:t>
            </w:r>
          </w:p>
        </w:tc>
        <w:tc>
          <w:tcPr>
            <w:tcW w:w="5989" w:type="dxa"/>
            <w:shd w:val="clear" w:color="auto" w:fill="auto"/>
          </w:tcPr>
          <w:p w14:paraId="77E67ECD" w14:textId="48178F38" w:rsidR="00395B24" w:rsidRPr="001B1053" w:rsidRDefault="00BE3EBC" w:rsidP="006531D5">
            <w:pPr>
              <w:pStyle w:val="Normal1linespace"/>
              <w:jc w:val="left"/>
            </w:pPr>
            <w:fldSimple w:instr=" REF  FileNo  \* MERGEFORMAT " w:fldLock="1">
              <w:r w:rsidRPr="00BE3EBC">
                <w:t>WAD 162 of 2021</w:t>
              </w:r>
            </w:fldSimple>
          </w:p>
        </w:tc>
      </w:tr>
      <w:tr w:rsidR="00395B24" w14:paraId="0E3FA665" w14:textId="77777777" w:rsidTr="00362134">
        <w:tc>
          <w:tcPr>
            <w:tcW w:w="3402" w:type="dxa"/>
            <w:shd w:val="clear" w:color="auto" w:fill="auto"/>
          </w:tcPr>
          <w:p w14:paraId="44C56DB8" w14:textId="77777777" w:rsidR="00395B24" w:rsidRDefault="00395B24" w:rsidP="00663878">
            <w:pPr>
              <w:pStyle w:val="Normal1linespace"/>
              <w:widowControl w:val="0"/>
              <w:jc w:val="left"/>
            </w:pPr>
          </w:p>
        </w:tc>
        <w:tc>
          <w:tcPr>
            <w:tcW w:w="5989" w:type="dxa"/>
            <w:shd w:val="clear" w:color="auto" w:fill="auto"/>
          </w:tcPr>
          <w:p w14:paraId="650F1258" w14:textId="77777777" w:rsidR="00395B24" w:rsidRDefault="00395B24" w:rsidP="00663878">
            <w:pPr>
              <w:pStyle w:val="Normal1linespace"/>
              <w:widowControl w:val="0"/>
              <w:jc w:val="left"/>
            </w:pPr>
          </w:p>
        </w:tc>
      </w:tr>
      <w:tr w:rsidR="00395B24" w14:paraId="026F88EF" w14:textId="77777777" w:rsidTr="00362134">
        <w:tc>
          <w:tcPr>
            <w:tcW w:w="3402" w:type="dxa"/>
            <w:shd w:val="clear" w:color="auto" w:fill="auto"/>
          </w:tcPr>
          <w:p w14:paraId="3ADF1DCD"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C87024A" w14:textId="028B4EBA" w:rsidR="00395B24" w:rsidRDefault="002C7385" w:rsidP="00663878">
            <w:pPr>
              <w:pStyle w:val="Normal1linespace"/>
              <w:widowControl w:val="0"/>
              <w:jc w:val="left"/>
              <w:rPr>
                <w:b/>
              </w:rPr>
            </w:pPr>
            <w:r w:rsidRPr="00BE3EBC">
              <w:rPr>
                <w:b/>
              </w:rPr>
              <w:fldChar w:fldCharType="begin" w:fldLock="1"/>
            </w:r>
            <w:r w:rsidRPr="00BE3EBC">
              <w:rPr>
                <w:b/>
              </w:rPr>
              <w:instrText xml:space="preserve"> REF  Judge  \* MERGEFORMAT </w:instrText>
            </w:r>
            <w:r w:rsidRPr="00BE3EBC">
              <w:rPr>
                <w:b/>
              </w:rPr>
              <w:fldChar w:fldCharType="separate"/>
            </w:r>
            <w:r w:rsidR="00BE3EBC" w:rsidRPr="00BE3EBC">
              <w:rPr>
                <w:b/>
                <w:caps/>
                <w:szCs w:val="24"/>
              </w:rPr>
              <w:t>BANKS-SMITH J</w:t>
            </w:r>
            <w:r w:rsidRPr="00BE3EBC">
              <w:rPr>
                <w:b/>
              </w:rPr>
              <w:fldChar w:fldCharType="end"/>
            </w:r>
          </w:p>
        </w:tc>
      </w:tr>
      <w:tr w:rsidR="00395B24" w14:paraId="32C5E4C3" w14:textId="77777777" w:rsidTr="00362134">
        <w:tc>
          <w:tcPr>
            <w:tcW w:w="3402" w:type="dxa"/>
            <w:shd w:val="clear" w:color="auto" w:fill="auto"/>
          </w:tcPr>
          <w:p w14:paraId="0BE4E735" w14:textId="77777777" w:rsidR="00395B24" w:rsidRDefault="00395B24" w:rsidP="00663878">
            <w:pPr>
              <w:pStyle w:val="Normal1linespace"/>
              <w:widowControl w:val="0"/>
              <w:jc w:val="left"/>
            </w:pPr>
          </w:p>
        </w:tc>
        <w:tc>
          <w:tcPr>
            <w:tcW w:w="5989" w:type="dxa"/>
            <w:shd w:val="clear" w:color="auto" w:fill="auto"/>
          </w:tcPr>
          <w:p w14:paraId="6786A070" w14:textId="77777777" w:rsidR="00395B24" w:rsidRDefault="00395B24" w:rsidP="00663878">
            <w:pPr>
              <w:pStyle w:val="Normal1linespace"/>
              <w:widowControl w:val="0"/>
              <w:jc w:val="left"/>
            </w:pPr>
          </w:p>
        </w:tc>
      </w:tr>
      <w:tr w:rsidR="00395B24" w14:paraId="66BFBB51" w14:textId="77777777" w:rsidTr="00362134">
        <w:tc>
          <w:tcPr>
            <w:tcW w:w="3402" w:type="dxa"/>
            <w:shd w:val="clear" w:color="auto" w:fill="auto"/>
          </w:tcPr>
          <w:p w14:paraId="6CE5CF99" w14:textId="77777777" w:rsidR="00395B24" w:rsidRDefault="002C7385" w:rsidP="00663878">
            <w:pPr>
              <w:pStyle w:val="Normal1linespace"/>
              <w:widowControl w:val="0"/>
              <w:jc w:val="left"/>
            </w:pPr>
            <w:r>
              <w:t>Date of judgment:</w:t>
            </w:r>
          </w:p>
        </w:tc>
        <w:tc>
          <w:tcPr>
            <w:tcW w:w="5989" w:type="dxa"/>
            <w:shd w:val="clear" w:color="auto" w:fill="auto"/>
          </w:tcPr>
          <w:p w14:paraId="475A1AB7" w14:textId="16301ECB" w:rsidR="00395B24" w:rsidRDefault="00A23731" w:rsidP="00663878">
            <w:pPr>
              <w:pStyle w:val="Normal1linespace"/>
              <w:widowControl w:val="0"/>
              <w:jc w:val="left"/>
            </w:pPr>
            <w:bookmarkStart w:id="1" w:name="JudgmentDate"/>
            <w:r>
              <w:t xml:space="preserve">7 April </w:t>
            </w:r>
            <w:r w:rsidR="00BE3EBC">
              <w:t>202</w:t>
            </w:r>
            <w:r w:rsidR="006E28FA">
              <w:t>5</w:t>
            </w:r>
            <w:bookmarkEnd w:id="1"/>
          </w:p>
        </w:tc>
      </w:tr>
      <w:tr w:rsidR="00395B24" w14:paraId="676E6D4F" w14:textId="77777777" w:rsidTr="00362134">
        <w:tc>
          <w:tcPr>
            <w:tcW w:w="3402" w:type="dxa"/>
            <w:shd w:val="clear" w:color="auto" w:fill="auto"/>
          </w:tcPr>
          <w:p w14:paraId="6481EE49" w14:textId="77777777" w:rsidR="00395B24" w:rsidRDefault="00395B24" w:rsidP="00663878">
            <w:pPr>
              <w:pStyle w:val="Normal1linespace"/>
              <w:widowControl w:val="0"/>
              <w:jc w:val="left"/>
            </w:pPr>
          </w:p>
        </w:tc>
        <w:tc>
          <w:tcPr>
            <w:tcW w:w="5989" w:type="dxa"/>
            <w:shd w:val="clear" w:color="auto" w:fill="auto"/>
          </w:tcPr>
          <w:p w14:paraId="679F5AE2" w14:textId="77777777" w:rsidR="00395B24" w:rsidRDefault="00395B24" w:rsidP="00663878">
            <w:pPr>
              <w:pStyle w:val="Normal1linespace"/>
              <w:widowControl w:val="0"/>
              <w:jc w:val="left"/>
            </w:pPr>
          </w:p>
        </w:tc>
      </w:tr>
      <w:tr w:rsidR="00395B24" w14:paraId="5026AE6E" w14:textId="77777777" w:rsidTr="00362134">
        <w:tc>
          <w:tcPr>
            <w:tcW w:w="3402" w:type="dxa"/>
            <w:shd w:val="clear" w:color="auto" w:fill="auto"/>
          </w:tcPr>
          <w:p w14:paraId="12646E68" w14:textId="77777777" w:rsidR="00395B24" w:rsidRDefault="002C7385" w:rsidP="00663878">
            <w:pPr>
              <w:pStyle w:val="Normal1linespace"/>
              <w:widowControl w:val="0"/>
              <w:jc w:val="left"/>
            </w:pPr>
            <w:r>
              <w:t>Catchwords:</w:t>
            </w:r>
          </w:p>
        </w:tc>
        <w:tc>
          <w:tcPr>
            <w:tcW w:w="5989" w:type="dxa"/>
            <w:shd w:val="clear" w:color="auto" w:fill="auto"/>
          </w:tcPr>
          <w:p w14:paraId="31EC452D" w14:textId="38F8C45C" w:rsidR="00395B24" w:rsidRDefault="002061B0" w:rsidP="00663878">
            <w:pPr>
              <w:pStyle w:val="Normal1linespace"/>
              <w:widowControl w:val="0"/>
              <w:jc w:val="left"/>
            </w:pPr>
            <w:bookmarkStart w:id="2" w:name="Catchwords"/>
            <w:r>
              <w:rPr>
                <w:b/>
                <w:bCs/>
              </w:rPr>
              <w:t>PRACTICE</w:t>
            </w:r>
            <w:r w:rsidR="00660324">
              <w:rPr>
                <w:b/>
                <w:bCs/>
              </w:rPr>
              <w:t xml:space="preserve"> AND PRO</w:t>
            </w:r>
            <w:r w:rsidR="00805AF2">
              <w:rPr>
                <w:b/>
                <w:bCs/>
              </w:rPr>
              <w:t>C</w:t>
            </w:r>
            <w:r w:rsidR="00660324">
              <w:rPr>
                <w:b/>
                <w:bCs/>
              </w:rPr>
              <w:t>EDURE</w:t>
            </w:r>
            <w:r w:rsidR="00660324" w:rsidRPr="001A1A61">
              <w:t xml:space="preserve"> –</w:t>
            </w:r>
            <w:r w:rsidR="00805AF2" w:rsidRPr="001A1A61">
              <w:t xml:space="preserve"> </w:t>
            </w:r>
            <w:r w:rsidR="00805AF2" w:rsidRPr="00805AF2">
              <w:t>application for</w:t>
            </w:r>
            <w:r w:rsidR="00805AF2">
              <w:t xml:space="preserve"> </w:t>
            </w:r>
            <w:r w:rsidR="00EF2CEA">
              <w:t>production</w:t>
            </w:r>
            <w:r w:rsidR="00805AF2">
              <w:t xml:space="preserve"> of non-</w:t>
            </w:r>
            <w:r w:rsidR="00EF2CEA">
              <w:t>redacted</w:t>
            </w:r>
            <w:r w:rsidR="00805AF2">
              <w:t xml:space="preserve"> copies of </w:t>
            </w:r>
            <w:r w:rsidR="00EF2CEA">
              <w:t>communications over which legal privilege claim</w:t>
            </w:r>
            <w:r w:rsidR="00425560">
              <w:t>ed</w:t>
            </w:r>
            <w:r w:rsidR="00EF2CEA">
              <w:t xml:space="preserve"> </w:t>
            </w:r>
            <w:r w:rsidR="00425560">
              <w:t>–</w:t>
            </w:r>
            <w:r w:rsidR="00EF2CEA">
              <w:t xml:space="preserve"> </w:t>
            </w:r>
            <w:r w:rsidR="00425560">
              <w:t xml:space="preserve">whether privilege waived – inconsistency – </w:t>
            </w:r>
            <w:r w:rsidR="00EF2CEA">
              <w:t>application allowed in part</w:t>
            </w:r>
            <w:bookmarkEnd w:id="2"/>
          </w:p>
        </w:tc>
      </w:tr>
      <w:tr w:rsidR="00395B24" w14:paraId="3489F7CF" w14:textId="77777777" w:rsidTr="00362134">
        <w:tc>
          <w:tcPr>
            <w:tcW w:w="3402" w:type="dxa"/>
            <w:shd w:val="clear" w:color="auto" w:fill="auto"/>
          </w:tcPr>
          <w:p w14:paraId="76FE9F0E" w14:textId="77777777" w:rsidR="00395B24" w:rsidRDefault="00395B24" w:rsidP="00663878">
            <w:pPr>
              <w:pStyle w:val="Normal1linespace"/>
              <w:widowControl w:val="0"/>
              <w:jc w:val="left"/>
            </w:pPr>
          </w:p>
        </w:tc>
        <w:tc>
          <w:tcPr>
            <w:tcW w:w="5989" w:type="dxa"/>
            <w:shd w:val="clear" w:color="auto" w:fill="auto"/>
          </w:tcPr>
          <w:p w14:paraId="2128C7E9" w14:textId="77777777" w:rsidR="00395B24" w:rsidRDefault="00395B24" w:rsidP="00663878">
            <w:pPr>
              <w:pStyle w:val="Normal1linespace"/>
              <w:widowControl w:val="0"/>
              <w:jc w:val="left"/>
            </w:pPr>
          </w:p>
        </w:tc>
      </w:tr>
      <w:tr w:rsidR="00395B24" w14:paraId="39F968F3" w14:textId="77777777" w:rsidTr="00362134">
        <w:tc>
          <w:tcPr>
            <w:tcW w:w="3402" w:type="dxa"/>
            <w:shd w:val="clear" w:color="auto" w:fill="auto"/>
          </w:tcPr>
          <w:p w14:paraId="2BF48296" w14:textId="77777777" w:rsidR="00395B24" w:rsidRDefault="002C7385" w:rsidP="00663878">
            <w:pPr>
              <w:pStyle w:val="Normal1linespace"/>
              <w:widowControl w:val="0"/>
              <w:jc w:val="left"/>
            </w:pPr>
            <w:r>
              <w:t>Legislation:</w:t>
            </w:r>
          </w:p>
        </w:tc>
        <w:tc>
          <w:tcPr>
            <w:tcW w:w="5989" w:type="dxa"/>
            <w:shd w:val="clear" w:color="auto" w:fill="auto"/>
          </w:tcPr>
          <w:p w14:paraId="51560B70" w14:textId="41CF8E7F" w:rsidR="00817865" w:rsidRPr="00817865" w:rsidRDefault="00817865" w:rsidP="00817865">
            <w:pPr>
              <w:pStyle w:val="CasesLegislationAppealFrom"/>
              <w:spacing w:after="60"/>
              <w:rPr>
                <w:szCs w:val="24"/>
              </w:rPr>
            </w:pPr>
            <w:bookmarkStart w:id="3" w:name="Legislation"/>
            <w:r w:rsidRPr="00817865">
              <w:rPr>
                <w:i/>
                <w:iCs/>
                <w:szCs w:val="24"/>
              </w:rPr>
              <w:t>Evidence Act 1995</w:t>
            </w:r>
            <w:r w:rsidRPr="00817865">
              <w:rPr>
                <w:szCs w:val="24"/>
              </w:rPr>
              <w:t xml:space="preserve"> (</w:t>
            </w:r>
            <w:proofErr w:type="spellStart"/>
            <w:r w:rsidRPr="00817865">
              <w:rPr>
                <w:szCs w:val="24"/>
              </w:rPr>
              <w:t>Cth</w:t>
            </w:r>
            <w:proofErr w:type="spellEnd"/>
            <w:r w:rsidRPr="00817865">
              <w:rPr>
                <w:szCs w:val="24"/>
              </w:rPr>
              <w:t xml:space="preserve">) ss 118, </w:t>
            </w:r>
            <w:r>
              <w:rPr>
                <w:szCs w:val="24"/>
              </w:rPr>
              <w:t xml:space="preserve">119, </w:t>
            </w:r>
            <w:r w:rsidRPr="00817865">
              <w:rPr>
                <w:szCs w:val="24"/>
              </w:rPr>
              <w:t>122</w:t>
            </w:r>
          </w:p>
          <w:p w14:paraId="5E428BC8" w14:textId="7DBE75E9" w:rsidR="00817865" w:rsidRPr="00817865" w:rsidRDefault="00817865" w:rsidP="00817865">
            <w:pPr>
              <w:pStyle w:val="CasesLegislationAppealFrom"/>
              <w:spacing w:after="60"/>
            </w:pPr>
            <w:r w:rsidRPr="00817865">
              <w:rPr>
                <w:i/>
                <w:iCs/>
              </w:rPr>
              <w:t>Federal Court Rules 2011</w:t>
            </w:r>
            <w:r w:rsidRPr="00817865">
              <w:t xml:space="preserve"> (</w:t>
            </w:r>
            <w:proofErr w:type="spellStart"/>
            <w:r w:rsidRPr="00817865">
              <w:t>Cth</w:t>
            </w:r>
            <w:proofErr w:type="spellEnd"/>
            <w:r>
              <w:t>) r 20.22</w:t>
            </w:r>
            <w:bookmarkEnd w:id="3"/>
          </w:p>
        </w:tc>
      </w:tr>
      <w:tr w:rsidR="00395B24" w14:paraId="67B21A8B" w14:textId="77777777" w:rsidTr="00362134">
        <w:tc>
          <w:tcPr>
            <w:tcW w:w="3402" w:type="dxa"/>
            <w:shd w:val="clear" w:color="auto" w:fill="auto"/>
          </w:tcPr>
          <w:p w14:paraId="303BFE55" w14:textId="77777777" w:rsidR="00395B24" w:rsidRDefault="00395B24" w:rsidP="00663878">
            <w:pPr>
              <w:pStyle w:val="Normal1linespace"/>
              <w:widowControl w:val="0"/>
              <w:jc w:val="left"/>
            </w:pPr>
          </w:p>
        </w:tc>
        <w:tc>
          <w:tcPr>
            <w:tcW w:w="5989" w:type="dxa"/>
            <w:shd w:val="clear" w:color="auto" w:fill="auto"/>
          </w:tcPr>
          <w:p w14:paraId="0898C45F" w14:textId="77777777" w:rsidR="00395B24" w:rsidRDefault="00395B24" w:rsidP="00663878">
            <w:pPr>
              <w:pStyle w:val="Normal1linespace"/>
              <w:widowControl w:val="0"/>
              <w:jc w:val="left"/>
            </w:pPr>
          </w:p>
        </w:tc>
      </w:tr>
      <w:tr w:rsidR="00395B24" w14:paraId="6EBD1DFE" w14:textId="77777777" w:rsidTr="00362134">
        <w:tc>
          <w:tcPr>
            <w:tcW w:w="3402" w:type="dxa"/>
            <w:shd w:val="clear" w:color="auto" w:fill="auto"/>
          </w:tcPr>
          <w:p w14:paraId="36B142E1" w14:textId="77777777" w:rsidR="00395B24" w:rsidRDefault="002C7385" w:rsidP="00663878">
            <w:pPr>
              <w:pStyle w:val="Normal1linespace"/>
              <w:widowControl w:val="0"/>
              <w:jc w:val="left"/>
            </w:pPr>
            <w:r>
              <w:t>Cases cited:</w:t>
            </w:r>
          </w:p>
        </w:tc>
        <w:tc>
          <w:tcPr>
            <w:tcW w:w="5989" w:type="dxa"/>
            <w:shd w:val="clear" w:color="auto" w:fill="auto"/>
          </w:tcPr>
          <w:p w14:paraId="014E4BDF" w14:textId="77777777" w:rsidR="00817865" w:rsidRPr="00817865" w:rsidRDefault="00817865" w:rsidP="00817865">
            <w:pPr>
              <w:pStyle w:val="CasesLegislationAppealFrom"/>
              <w:spacing w:after="60"/>
              <w:rPr>
                <w:szCs w:val="24"/>
              </w:rPr>
            </w:pPr>
            <w:bookmarkStart w:id="4" w:name="Cases_Cited"/>
            <w:r w:rsidRPr="00817865">
              <w:rPr>
                <w:i/>
                <w:iCs/>
                <w:szCs w:val="24"/>
              </w:rPr>
              <w:t xml:space="preserve">Banksia Mortgages Ltd v Croker </w:t>
            </w:r>
            <w:r w:rsidRPr="00817865">
              <w:rPr>
                <w:szCs w:val="24"/>
              </w:rPr>
              <w:t>[2010] NSWSC 535</w:t>
            </w:r>
          </w:p>
          <w:p w14:paraId="33C14DE7" w14:textId="77777777" w:rsidR="00817865" w:rsidRPr="00817865" w:rsidRDefault="00817865" w:rsidP="00817865">
            <w:pPr>
              <w:pStyle w:val="CasesLegislationAppealFrom"/>
              <w:spacing w:after="60"/>
            </w:pPr>
            <w:r w:rsidRPr="00817865">
              <w:rPr>
                <w:i/>
                <w:iCs/>
              </w:rPr>
              <w:t>College of Law Limited v Australian National University</w:t>
            </w:r>
            <w:r w:rsidRPr="00817865">
              <w:t xml:space="preserve"> [2013] FCA 492</w:t>
            </w:r>
          </w:p>
          <w:p w14:paraId="19D670FC" w14:textId="77777777" w:rsidR="00817865" w:rsidRPr="00817865" w:rsidRDefault="00817865" w:rsidP="00817865">
            <w:pPr>
              <w:pStyle w:val="CasesLegislationAppealFrom"/>
              <w:spacing w:after="60"/>
            </w:pPr>
            <w:r w:rsidRPr="00817865">
              <w:rPr>
                <w:i/>
                <w:iCs/>
              </w:rPr>
              <w:t>Expense Reduction Analysts Group Pty Ltd v Armstrong Strategic Management and Marketing Pty Ltd</w:t>
            </w:r>
            <w:r w:rsidRPr="00817865">
              <w:t xml:space="preserve"> [2013] HCA 46; (2013) 250 CLR 303</w:t>
            </w:r>
          </w:p>
          <w:p w14:paraId="52B93F43" w14:textId="3B40E3DB" w:rsidR="00817865" w:rsidRPr="00817865" w:rsidRDefault="00817865" w:rsidP="00817865">
            <w:pPr>
              <w:pStyle w:val="CasesLegislationAppealFrom"/>
              <w:spacing w:after="60"/>
              <w:rPr>
                <w:lang w:eastAsia="en-AU"/>
              </w:rPr>
            </w:pPr>
            <w:r w:rsidRPr="00817865">
              <w:rPr>
                <w:i/>
                <w:iCs/>
                <w:lang w:eastAsia="en-AU"/>
              </w:rPr>
              <w:t xml:space="preserve">Federal Treasury Enterprise (FKP) </w:t>
            </w:r>
            <w:proofErr w:type="spellStart"/>
            <w:r w:rsidRPr="00817865">
              <w:rPr>
                <w:i/>
                <w:iCs/>
                <w:lang w:eastAsia="en-AU"/>
              </w:rPr>
              <w:t>Sojuzplodoimport</w:t>
            </w:r>
            <w:proofErr w:type="spellEnd"/>
            <w:r w:rsidRPr="00817865">
              <w:rPr>
                <w:i/>
                <w:iCs/>
                <w:lang w:eastAsia="en-AU"/>
              </w:rPr>
              <w:t xml:space="preserve"> v Spirits International B.V. (No 6)</w:t>
            </w:r>
            <w:r w:rsidRPr="00817865">
              <w:rPr>
                <w:lang w:eastAsia="en-AU"/>
              </w:rPr>
              <w:t xml:space="preserve"> [2019] FCA 337</w:t>
            </w:r>
          </w:p>
          <w:p w14:paraId="27BCC904" w14:textId="77777777" w:rsidR="00817865" w:rsidRPr="00817865" w:rsidRDefault="00817865" w:rsidP="00817865">
            <w:pPr>
              <w:pStyle w:val="CasesLegislationAppealFrom"/>
              <w:spacing w:after="60"/>
            </w:pPr>
            <w:r w:rsidRPr="00817865">
              <w:rPr>
                <w:i/>
                <w:iCs/>
              </w:rPr>
              <w:t>French v Triple M Melbourne Pty Ltd (Ruling No 1)</w:t>
            </w:r>
            <w:r w:rsidRPr="00817865">
              <w:t xml:space="preserve"> [2008] VSC 547</w:t>
            </w:r>
          </w:p>
          <w:p w14:paraId="10786E2E" w14:textId="77777777" w:rsidR="00817865" w:rsidRPr="00817865" w:rsidRDefault="00817865" w:rsidP="00817865">
            <w:pPr>
              <w:pStyle w:val="CasesLegislationAppealFrom"/>
              <w:spacing w:after="60"/>
            </w:pPr>
            <w:r w:rsidRPr="00817865">
              <w:rPr>
                <w:i/>
                <w:iCs/>
              </w:rPr>
              <w:t xml:space="preserve">GR Capital Group Pty Ltd v </w:t>
            </w:r>
            <w:proofErr w:type="spellStart"/>
            <w:r w:rsidRPr="00817865">
              <w:rPr>
                <w:i/>
                <w:iCs/>
              </w:rPr>
              <w:t>Xinfeng</w:t>
            </w:r>
            <w:proofErr w:type="spellEnd"/>
            <w:r w:rsidRPr="00817865">
              <w:rPr>
                <w:i/>
                <w:iCs/>
              </w:rPr>
              <w:t xml:space="preserve"> Australia International Investment Pty Ltd </w:t>
            </w:r>
            <w:r w:rsidRPr="00817865">
              <w:t>[2020] NSWCA 266</w:t>
            </w:r>
          </w:p>
          <w:p w14:paraId="77279860" w14:textId="77777777" w:rsidR="00817865" w:rsidRPr="00817865" w:rsidRDefault="00817865" w:rsidP="00817865">
            <w:pPr>
              <w:pStyle w:val="CasesLegislationAppealFrom"/>
              <w:spacing w:after="60"/>
            </w:pPr>
            <w:r w:rsidRPr="00817865">
              <w:rPr>
                <w:i/>
                <w:iCs/>
              </w:rPr>
              <w:t>INPEX Operations Australia Pty Ltd v AkzoNobel NV (No 3)</w:t>
            </w:r>
            <w:r w:rsidRPr="00817865">
              <w:t xml:space="preserve"> [2024] FCA 1221</w:t>
            </w:r>
          </w:p>
          <w:p w14:paraId="450D8785" w14:textId="77777777" w:rsidR="00817865" w:rsidRPr="00817865" w:rsidRDefault="00817865" w:rsidP="00817865">
            <w:pPr>
              <w:pStyle w:val="CasesLegislationAppealFrom"/>
              <w:spacing w:after="60"/>
              <w:rPr>
                <w:lang w:eastAsia="en-AU"/>
              </w:rPr>
            </w:pPr>
            <w:r w:rsidRPr="00817865">
              <w:rPr>
                <w:i/>
                <w:iCs/>
                <w:lang w:eastAsia="en-AU"/>
              </w:rPr>
              <w:t>Lactalis Jindi Pty Ltd v Jindi Cheese Pty Ltd</w:t>
            </w:r>
            <w:r w:rsidRPr="00817865">
              <w:rPr>
                <w:lang w:eastAsia="en-AU"/>
              </w:rPr>
              <w:t xml:space="preserve"> [2013] VSC 475</w:t>
            </w:r>
          </w:p>
          <w:p w14:paraId="3314E1D8" w14:textId="77777777" w:rsidR="00817865" w:rsidRPr="00817865" w:rsidRDefault="00817865" w:rsidP="00817865">
            <w:pPr>
              <w:pStyle w:val="CasesLegislationAppealFrom"/>
              <w:spacing w:after="60"/>
              <w:rPr>
                <w:lang w:eastAsia="en-AU"/>
              </w:rPr>
            </w:pPr>
            <w:r w:rsidRPr="00817865">
              <w:rPr>
                <w:i/>
                <w:iCs/>
                <w:lang w:eastAsia="en-AU"/>
              </w:rPr>
              <w:t>Mann v Carnell</w:t>
            </w:r>
            <w:r w:rsidRPr="00817865">
              <w:rPr>
                <w:lang w:eastAsia="en-AU"/>
              </w:rPr>
              <w:t xml:space="preserve"> [1999] HCA 66; (1999) 201 CLR 1</w:t>
            </w:r>
          </w:p>
          <w:p w14:paraId="4328DDDB" w14:textId="77777777" w:rsidR="00817865" w:rsidRPr="00817865" w:rsidRDefault="00817865" w:rsidP="00817865">
            <w:pPr>
              <w:pStyle w:val="CasesLegislationAppealFrom"/>
              <w:spacing w:after="60"/>
              <w:rPr>
                <w:szCs w:val="24"/>
              </w:rPr>
            </w:pPr>
            <w:r w:rsidRPr="00817865">
              <w:rPr>
                <w:i/>
                <w:iCs/>
                <w:szCs w:val="24"/>
              </w:rPr>
              <w:t>Osland v Secretary to the Department of Justice</w:t>
            </w:r>
            <w:r w:rsidRPr="00817865">
              <w:rPr>
                <w:szCs w:val="24"/>
              </w:rPr>
              <w:t xml:space="preserve"> [2008] HCA 37; (2008) 234 CLR 275</w:t>
            </w:r>
          </w:p>
          <w:p w14:paraId="11D3F1DA" w14:textId="77777777" w:rsidR="00817865" w:rsidRPr="00817865" w:rsidRDefault="00817865" w:rsidP="00817865">
            <w:pPr>
              <w:pStyle w:val="CasesLegislationAppealFrom"/>
              <w:spacing w:after="60"/>
            </w:pPr>
            <w:r w:rsidRPr="00817865">
              <w:rPr>
                <w:i/>
                <w:iCs/>
              </w:rPr>
              <w:t xml:space="preserve">Procter v </w:t>
            </w:r>
            <w:proofErr w:type="spellStart"/>
            <w:r w:rsidRPr="00817865">
              <w:rPr>
                <w:i/>
                <w:iCs/>
              </w:rPr>
              <w:t>Kalivis</w:t>
            </w:r>
            <w:proofErr w:type="spellEnd"/>
            <w:r w:rsidRPr="00817865">
              <w:t xml:space="preserve"> [2009] FCA 1518</w:t>
            </w:r>
          </w:p>
          <w:p w14:paraId="7BCB7E2F" w14:textId="77777777" w:rsidR="00817865" w:rsidRDefault="00817865" w:rsidP="00817865">
            <w:pPr>
              <w:pStyle w:val="CasesLegislationAppealFrom"/>
              <w:spacing w:after="60"/>
            </w:pPr>
            <w:r w:rsidRPr="00817865">
              <w:rPr>
                <w:i/>
                <w:iCs/>
              </w:rPr>
              <w:t>Roberts-Smith v Fairfax Media Publications Pty Limited (No 33)</w:t>
            </w:r>
            <w:r w:rsidRPr="00817865">
              <w:t xml:space="preserve"> [2022] FCA 420</w:t>
            </w:r>
            <w:bookmarkEnd w:id="4"/>
          </w:p>
          <w:p w14:paraId="495F794B" w14:textId="16CC6DD8" w:rsidR="00477C19" w:rsidRPr="00817865" w:rsidRDefault="00477C19" w:rsidP="00817865">
            <w:pPr>
              <w:pStyle w:val="CasesLegislationAppealFrom"/>
              <w:spacing w:after="60"/>
            </w:pPr>
            <w:proofErr w:type="spellStart"/>
            <w:r w:rsidRPr="00535305">
              <w:rPr>
                <w:i/>
                <w:iCs/>
              </w:rPr>
              <w:t>TerraCom</w:t>
            </w:r>
            <w:proofErr w:type="spellEnd"/>
            <w:r w:rsidRPr="00535305">
              <w:rPr>
                <w:i/>
                <w:iCs/>
              </w:rPr>
              <w:t xml:space="preserve"> Ltd v Australian Securities and Investments Commission</w:t>
            </w:r>
            <w:r>
              <w:t xml:space="preserve"> [2022] FCA 208</w:t>
            </w:r>
          </w:p>
        </w:tc>
      </w:tr>
      <w:tr w:rsidR="006423C0" w14:paraId="4F5C47EF" w14:textId="77777777" w:rsidTr="00362134">
        <w:tc>
          <w:tcPr>
            <w:tcW w:w="3402" w:type="dxa"/>
            <w:shd w:val="clear" w:color="auto" w:fill="auto"/>
          </w:tcPr>
          <w:p w14:paraId="031F4BC8" w14:textId="77777777" w:rsidR="006423C0" w:rsidRDefault="006423C0" w:rsidP="002F7154">
            <w:pPr>
              <w:pStyle w:val="Normal1linespace"/>
              <w:widowControl w:val="0"/>
            </w:pPr>
          </w:p>
        </w:tc>
        <w:tc>
          <w:tcPr>
            <w:tcW w:w="5989" w:type="dxa"/>
            <w:shd w:val="clear" w:color="auto" w:fill="auto"/>
          </w:tcPr>
          <w:p w14:paraId="62AAD939" w14:textId="77777777" w:rsidR="006423C0" w:rsidRDefault="006423C0" w:rsidP="002F7154">
            <w:pPr>
              <w:pStyle w:val="Normal1linespace"/>
              <w:widowControl w:val="0"/>
              <w:jc w:val="left"/>
            </w:pPr>
          </w:p>
        </w:tc>
      </w:tr>
      <w:tr w:rsidR="00BE3EBC" w14:paraId="5143B690" w14:textId="77777777" w:rsidTr="00362134">
        <w:tc>
          <w:tcPr>
            <w:tcW w:w="3402" w:type="dxa"/>
            <w:shd w:val="clear" w:color="auto" w:fill="auto"/>
          </w:tcPr>
          <w:p w14:paraId="6C2088F9" w14:textId="77777777" w:rsidR="00BE3EBC" w:rsidRDefault="00BE3EBC" w:rsidP="002F7154">
            <w:pPr>
              <w:pStyle w:val="Normal1linespace"/>
              <w:widowControl w:val="0"/>
            </w:pPr>
          </w:p>
        </w:tc>
        <w:tc>
          <w:tcPr>
            <w:tcW w:w="5989" w:type="dxa"/>
            <w:shd w:val="clear" w:color="auto" w:fill="auto"/>
          </w:tcPr>
          <w:p w14:paraId="37339764" w14:textId="77777777" w:rsidR="00BE3EBC" w:rsidRDefault="00BE3EBC" w:rsidP="002F7154">
            <w:pPr>
              <w:pStyle w:val="Normal1linespace"/>
              <w:widowControl w:val="0"/>
              <w:jc w:val="left"/>
            </w:pPr>
          </w:p>
        </w:tc>
      </w:tr>
      <w:tr w:rsidR="00BE3EBC" w14:paraId="46D0D80A" w14:textId="77777777" w:rsidTr="00362134">
        <w:tc>
          <w:tcPr>
            <w:tcW w:w="3402" w:type="dxa"/>
            <w:shd w:val="clear" w:color="auto" w:fill="auto"/>
          </w:tcPr>
          <w:p w14:paraId="2DBF86FC" w14:textId="77777777" w:rsidR="00BE3EBC" w:rsidRDefault="00BE3EBC" w:rsidP="00501A12">
            <w:pPr>
              <w:pStyle w:val="Normal1linespace"/>
              <w:widowControl w:val="0"/>
            </w:pPr>
            <w:r>
              <w:lastRenderedPageBreak/>
              <w:t>Division:</w:t>
            </w:r>
          </w:p>
        </w:tc>
        <w:tc>
          <w:tcPr>
            <w:tcW w:w="5989" w:type="dxa"/>
            <w:shd w:val="clear" w:color="auto" w:fill="auto"/>
          </w:tcPr>
          <w:p w14:paraId="27AA2EC4" w14:textId="0B126654" w:rsidR="00BE3EBC" w:rsidRPr="00F17599" w:rsidRDefault="00BE3EBC" w:rsidP="00501A12">
            <w:pPr>
              <w:pStyle w:val="Normal1linespace"/>
              <w:widowControl w:val="0"/>
              <w:jc w:val="left"/>
            </w:pPr>
            <w:r>
              <w:fldChar w:fldCharType="begin" w:fldLock="1"/>
            </w:r>
            <w:r>
              <w:instrText xml:space="preserve"> DOCPROPERTY  Division </w:instrText>
            </w:r>
            <w:r>
              <w:fldChar w:fldCharType="separate"/>
            </w:r>
            <w:r>
              <w:t>General Division</w:t>
            </w:r>
            <w:r>
              <w:fldChar w:fldCharType="end"/>
            </w:r>
          </w:p>
        </w:tc>
      </w:tr>
      <w:tr w:rsidR="00BE3EBC" w14:paraId="088F5092" w14:textId="77777777" w:rsidTr="00362134">
        <w:tc>
          <w:tcPr>
            <w:tcW w:w="3402" w:type="dxa"/>
            <w:shd w:val="clear" w:color="auto" w:fill="auto"/>
          </w:tcPr>
          <w:p w14:paraId="54FCD25F" w14:textId="77777777" w:rsidR="00BE3EBC" w:rsidRDefault="00BE3EBC" w:rsidP="00501A12">
            <w:pPr>
              <w:pStyle w:val="Normal1linespace"/>
              <w:widowControl w:val="0"/>
            </w:pPr>
            <w:bookmarkStart w:id="5" w:name="Registry_rows" w:colFirst="0" w:colLast="1"/>
          </w:p>
        </w:tc>
        <w:tc>
          <w:tcPr>
            <w:tcW w:w="5989" w:type="dxa"/>
            <w:shd w:val="clear" w:color="auto" w:fill="auto"/>
          </w:tcPr>
          <w:p w14:paraId="021F5F15" w14:textId="77777777" w:rsidR="00BE3EBC" w:rsidRDefault="00BE3EBC" w:rsidP="00501A12">
            <w:pPr>
              <w:pStyle w:val="Normal1linespace"/>
              <w:widowControl w:val="0"/>
              <w:jc w:val="left"/>
            </w:pPr>
          </w:p>
        </w:tc>
      </w:tr>
      <w:tr w:rsidR="00BE3EBC" w14:paraId="36B9FD56" w14:textId="77777777" w:rsidTr="00362134">
        <w:tc>
          <w:tcPr>
            <w:tcW w:w="3402" w:type="dxa"/>
            <w:shd w:val="clear" w:color="auto" w:fill="auto"/>
          </w:tcPr>
          <w:p w14:paraId="7D129D65" w14:textId="77777777" w:rsidR="00BE3EBC" w:rsidRDefault="00BE3EBC" w:rsidP="00501A12">
            <w:pPr>
              <w:pStyle w:val="Normal1linespace"/>
              <w:widowControl w:val="0"/>
            </w:pPr>
            <w:r>
              <w:t>Registry:</w:t>
            </w:r>
          </w:p>
        </w:tc>
        <w:tc>
          <w:tcPr>
            <w:tcW w:w="5989" w:type="dxa"/>
            <w:shd w:val="clear" w:color="auto" w:fill="auto"/>
          </w:tcPr>
          <w:p w14:paraId="4E2D30E7" w14:textId="137A2E26" w:rsidR="00BE3EBC" w:rsidRPr="00F17599" w:rsidRDefault="00BE3EBC" w:rsidP="00501A12">
            <w:pPr>
              <w:pStyle w:val="Normal1linespace"/>
              <w:widowControl w:val="0"/>
              <w:jc w:val="left"/>
            </w:pPr>
            <w:r>
              <w:fldChar w:fldCharType="begin" w:fldLock="1"/>
            </w:r>
            <w:r>
              <w:instrText xml:space="preserve"> DOCPROPERTY  Registry </w:instrText>
            </w:r>
            <w:r>
              <w:fldChar w:fldCharType="separate"/>
            </w:r>
            <w:r>
              <w:t>Western Australia</w:t>
            </w:r>
            <w:r>
              <w:fldChar w:fldCharType="end"/>
            </w:r>
          </w:p>
        </w:tc>
      </w:tr>
      <w:tr w:rsidR="00BE3EBC" w14:paraId="2CFAAABE" w14:textId="77777777" w:rsidTr="00362134">
        <w:tc>
          <w:tcPr>
            <w:tcW w:w="3402" w:type="dxa"/>
            <w:shd w:val="clear" w:color="auto" w:fill="auto"/>
          </w:tcPr>
          <w:p w14:paraId="1398CCC6" w14:textId="77777777" w:rsidR="00BE3EBC" w:rsidRDefault="00BE3EBC" w:rsidP="00501A12">
            <w:pPr>
              <w:pStyle w:val="Normal1linespace"/>
              <w:widowControl w:val="0"/>
            </w:pPr>
            <w:bookmarkStart w:id="6" w:name="NPARow" w:colFirst="0" w:colLast="1"/>
            <w:bookmarkEnd w:id="5"/>
          </w:p>
        </w:tc>
        <w:tc>
          <w:tcPr>
            <w:tcW w:w="5989" w:type="dxa"/>
            <w:shd w:val="clear" w:color="auto" w:fill="auto"/>
          </w:tcPr>
          <w:p w14:paraId="67F494BB" w14:textId="77777777" w:rsidR="00BE3EBC" w:rsidRPr="00F17599" w:rsidRDefault="00BE3EBC" w:rsidP="00501A12">
            <w:pPr>
              <w:pStyle w:val="Normal1linespace"/>
              <w:widowControl w:val="0"/>
              <w:jc w:val="left"/>
              <w:rPr>
                <w:b/>
              </w:rPr>
            </w:pPr>
          </w:p>
        </w:tc>
      </w:tr>
      <w:tr w:rsidR="00BE3EBC" w14:paraId="7DF04152" w14:textId="77777777" w:rsidTr="00362134">
        <w:tc>
          <w:tcPr>
            <w:tcW w:w="3402" w:type="dxa"/>
            <w:shd w:val="clear" w:color="auto" w:fill="auto"/>
          </w:tcPr>
          <w:p w14:paraId="27750893" w14:textId="77777777" w:rsidR="00BE3EBC" w:rsidRDefault="00BE3EBC" w:rsidP="00501A12">
            <w:pPr>
              <w:pStyle w:val="Normal1linespace"/>
              <w:widowControl w:val="0"/>
            </w:pPr>
            <w:r>
              <w:t>National Practice Area:</w:t>
            </w:r>
          </w:p>
        </w:tc>
        <w:tc>
          <w:tcPr>
            <w:tcW w:w="5989" w:type="dxa"/>
            <w:shd w:val="clear" w:color="auto" w:fill="auto"/>
          </w:tcPr>
          <w:p w14:paraId="4FD6C92A" w14:textId="7E3DB897" w:rsidR="00BE3EBC" w:rsidRPr="00F17599" w:rsidRDefault="00BE3EBC" w:rsidP="00171DBB">
            <w:pPr>
              <w:pStyle w:val="Normal1linespace"/>
              <w:widowControl w:val="0"/>
              <w:jc w:val="left"/>
              <w:rPr>
                <w:b/>
              </w:rPr>
            </w:pPr>
            <w:fldSimple w:instr=" DOCPROPERTY  &quot;Practice Area&quot;  \* MERGEFORMAT " w:fldLock="1">
              <w:r>
                <w:t>Commercial and Corporations</w:t>
              </w:r>
            </w:fldSimple>
          </w:p>
        </w:tc>
      </w:tr>
      <w:tr w:rsidR="00BE3EBC" w14:paraId="49C5B4F2" w14:textId="77777777" w:rsidTr="00362134">
        <w:tc>
          <w:tcPr>
            <w:tcW w:w="3402" w:type="dxa"/>
            <w:shd w:val="clear" w:color="auto" w:fill="auto"/>
          </w:tcPr>
          <w:p w14:paraId="0506EAAB" w14:textId="77777777" w:rsidR="00BE3EBC" w:rsidRDefault="00BE3EBC" w:rsidP="00501A12">
            <w:pPr>
              <w:pStyle w:val="Normal1linespace"/>
              <w:widowControl w:val="0"/>
            </w:pPr>
            <w:bookmarkStart w:id="7" w:name="SubAreaRow" w:colFirst="0" w:colLast="1"/>
            <w:bookmarkEnd w:id="6"/>
          </w:p>
        </w:tc>
        <w:tc>
          <w:tcPr>
            <w:tcW w:w="5989" w:type="dxa"/>
            <w:shd w:val="clear" w:color="auto" w:fill="auto"/>
          </w:tcPr>
          <w:p w14:paraId="7565499B" w14:textId="77777777" w:rsidR="00BE3EBC" w:rsidRDefault="00BE3EBC" w:rsidP="00171DBB">
            <w:pPr>
              <w:pStyle w:val="Normal1linespace"/>
              <w:widowControl w:val="0"/>
              <w:jc w:val="left"/>
            </w:pPr>
          </w:p>
        </w:tc>
      </w:tr>
      <w:tr w:rsidR="00BE3EBC" w14:paraId="4D25F859" w14:textId="77777777" w:rsidTr="00362134">
        <w:tc>
          <w:tcPr>
            <w:tcW w:w="3402" w:type="dxa"/>
            <w:shd w:val="clear" w:color="auto" w:fill="auto"/>
          </w:tcPr>
          <w:p w14:paraId="40BB88A6" w14:textId="77777777" w:rsidR="00BE3EBC" w:rsidRDefault="00BE3EBC" w:rsidP="00501A12">
            <w:pPr>
              <w:pStyle w:val="Normal1linespace"/>
              <w:widowControl w:val="0"/>
            </w:pPr>
            <w:r>
              <w:t>Sub-area:</w:t>
            </w:r>
          </w:p>
        </w:tc>
        <w:tc>
          <w:tcPr>
            <w:tcW w:w="5989" w:type="dxa"/>
            <w:shd w:val="clear" w:color="auto" w:fill="auto"/>
          </w:tcPr>
          <w:p w14:paraId="75760EE2" w14:textId="374B30BF" w:rsidR="00BE3EBC" w:rsidRPr="00837288" w:rsidRDefault="00BE3EBC" w:rsidP="00435936">
            <w:pPr>
              <w:pStyle w:val="Normal1linespace"/>
              <w:widowControl w:val="0"/>
              <w:jc w:val="left"/>
            </w:pPr>
            <w:fldSimple w:instr=" DOCPROPERTY  &quot;Sub Area&quot;  \* MERGEFORMAT " w:fldLock="1">
              <w:r w:rsidRPr="00BE3EBC">
                <w:rPr>
                  <w:lang w:val="en-US"/>
                </w:rPr>
                <w:t>Regulator and Consumer</w:t>
              </w:r>
              <w:r>
                <w:t xml:space="preserve"> Protection</w:t>
              </w:r>
            </w:fldSimple>
          </w:p>
        </w:tc>
      </w:tr>
      <w:bookmarkEnd w:id="7"/>
      <w:tr w:rsidR="00BE3EBC" w14:paraId="3A08E08C" w14:textId="77777777" w:rsidTr="00362134">
        <w:tc>
          <w:tcPr>
            <w:tcW w:w="3402" w:type="dxa"/>
            <w:shd w:val="clear" w:color="auto" w:fill="auto"/>
          </w:tcPr>
          <w:p w14:paraId="64E4A443" w14:textId="77777777" w:rsidR="00BE3EBC" w:rsidRDefault="00BE3EBC" w:rsidP="00501A12">
            <w:pPr>
              <w:pStyle w:val="Normal1linespace"/>
              <w:widowControl w:val="0"/>
            </w:pPr>
          </w:p>
        </w:tc>
        <w:tc>
          <w:tcPr>
            <w:tcW w:w="5989" w:type="dxa"/>
            <w:shd w:val="clear" w:color="auto" w:fill="auto"/>
          </w:tcPr>
          <w:p w14:paraId="327E8033" w14:textId="77777777" w:rsidR="00BE3EBC" w:rsidRDefault="00BE3EBC" w:rsidP="00501A12">
            <w:pPr>
              <w:pStyle w:val="Normal1linespace"/>
              <w:widowControl w:val="0"/>
              <w:jc w:val="left"/>
            </w:pPr>
          </w:p>
        </w:tc>
      </w:tr>
      <w:tr w:rsidR="00BE3EBC" w14:paraId="6DE8F2BC" w14:textId="77777777" w:rsidTr="00362134">
        <w:tc>
          <w:tcPr>
            <w:tcW w:w="3402" w:type="dxa"/>
            <w:shd w:val="clear" w:color="auto" w:fill="auto"/>
          </w:tcPr>
          <w:p w14:paraId="019B214C" w14:textId="77777777" w:rsidR="00BE3EBC" w:rsidRDefault="00BE3EBC" w:rsidP="00501A12">
            <w:pPr>
              <w:pStyle w:val="Normal1linespace"/>
              <w:widowControl w:val="0"/>
            </w:pPr>
            <w:r>
              <w:t>Number of paragraphs:</w:t>
            </w:r>
          </w:p>
        </w:tc>
        <w:tc>
          <w:tcPr>
            <w:tcW w:w="5989" w:type="dxa"/>
            <w:shd w:val="clear" w:color="auto" w:fill="auto"/>
          </w:tcPr>
          <w:p w14:paraId="37590A32" w14:textId="31E99D67" w:rsidR="00BE3EBC" w:rsidRDefault="00362134" w:rsidP="00501A12">
            <w:pPr>
              <w:pStyle w:val="Normal1linespace"/>
              <w:widowControl w:val="0"/>
              <w:jc w:val="left"/>
            </w:pPr>
            <w:bookmarkStart w:id="8" w:name="PlaceCategoryParagraphs"/>
            <w:r>
              <w:t>88</w:t>
            </w:r>
            <w:bookmarkEnd w:id="8"/>
          </w:p>
        </w:tc>
      </w:tr>
      <w:tr w:rsidR="00BE3EBC" w14:paraId="07E9B17A" w14:textId="77777777" w:rsidTr="00362134">
        <w:tc>
          <w:tcPr>
            <w:tcW w:w="3402" w:type="dxa"/>
            <w:shd w:val="clear" w:color="auto" w:fill="auto"/>
          </w:tcPr>
          <w:p w14:paraId="227D1DFA" w14:textId="77777777" w:rsidR="00BE3EBC" w:rsidRDefault="00BE3EBC" w:rsidP="00BE3EBC">
            <w:pPr>
              <w:pStyle w:val="Normal1linespace"/>
              <w:widowControl w:val="0"/>
              <w:jc w:val="left"/>
            </w:pPr>
          </w:p>
        </w:tc>
        <w:tc>
          <w:tcPr>
            <w:tcW w:w="5989" w:type="dxa"/>
            <w:shd w:val="clear" w:color="auto" w:fill="auto"/>
          </w:tcPr>
          <w:p w14:paraId="34F3CC19" w14:textId="77777777" w:rsidR="00BE3EBC" w:rsidRDefault="00BE3EBC" w:rsidP="00BE3EBC">
            <w:pPr>
              <w:pStyle w:val="Normal1linespace"/>
              <w:widowControl w:val="0"/>
              <w:jc w:val="left"/>
            </w:pPr>
          </w:p>
        </w:tc>
      </w:tr>
      <w:tr w:rsidR="00BE3EBC" w14:paraId="604D0E0A" w14:textId="77777777" w:rsidTr="00362134">
        <w:tc>
          <w:tcPr>
            <w:tcW w:w="3402" w:type="dxa"/>
            <w:shd w:val="clear" w:color="auto" w:fill="auto"/>
          </w:tcPr>
          <w:p w14:paraId="641FC64D" w14:textId="77777777" w:rsidR="00BE3EBC" w:rsidRDefault="00BE3EBC" w:rsidP="00BE3EBC">
            <w:pPr>
              <w:pStyle w:val="Normal1linespace"/>
              <w:widowControl w:val="0"/>
              <w:jc w:val="left"/>
            </w:pPr>
            <w:bookmarkStart w:id="9" w:name="CounselDate" w:colFirst="0" w:colLast="2"/>
            <w:r w:rsidRPr="006A24E3">
              <w:t>Date of hearing:</w:t>
            </w:r>
          </w:p>
        </w:tc>
        <w:tc>
          <w:tcPr>
            <w:tcW w:w="5989" w:type="dxa"/>
            <w:shd w:val="clear" w:color="auto" w:fill="auto"/>
          </w:tcPr>
          <w:p w14:paraId="32076226" w14:textId="53527AA8" w:rsidR="00BE3EBC" w:rsidRPr="00D06780" w:rsidRDefault="006531D5" w:rsidP="00BE3EBC">
            <w:pPr>
              <w:pStyle w:val="Normal1linespace"/>
              <w:widowControl w:val="0"/>
              <w:jc w:val="left"/>
            </w:pPr>
            <w:bookmarkStart w:id="10" w:name="HearingDate"/>
            <w:r w:rsidRPr="00D06780">
              <w:t>Determined on the papers</w:t>
            </w:r>
            <w:bookmarkEnd w:id="10"/>
          </w:p>
        </w:tc>
      </w:tr>
      <w:tr w:rsidR="00FA6009" w14:paraId="37214D52" w14:textId="77777777" w:rsidTr="00362134">
        <w:tc>
          <w:tcPr>
            <w:tcW w:w="3402" w:type="dxa"/>
            <w:shd w:val="clear" w:color="auto" w:fill="auto"/>
          </w:tcPr>
          <w:p w14:paraId="247D3765" w14:textId="77777777" w:rsidR="00FA6009" w:rsidRDefault="00FA6009" w:rsidP="00BE3EBC">
            <w:pPr>
              <w:pStyle w:val="Normal1linespace"/>
              <w:widowControl w:val="0"/>
              <w:jc w:val="left"/>
            </w:pPr>
          </w:p>
        </w:tc>
        <w:tc>
          <w:tcPr>
            <w:tcW w:w="5989" w:type="dxa"/>
            <w:shd w:val="clear" w:color="auto" w:fill="auto"/>
          </w:tcPr>
          <w:p w14:paraId="72C2D2E3" w14:textId="77777777" w:rsidR="00FA6009" w:rsidRDefault="00FA6009" w:rsidP="00BE3EBC">
            <w:pPr>
              <w:pStyle w:val="Normal1linespace"/>
              <w:widowControl w:val="0"/>
              <w:jc w:val="left"/>
            </w:pPr>
          </w:p>
        </w:tc>
      </w:tr>
      <w:tr w:rsidR="00FA6009" w:rsidRPr="00FA6009" w14:paraId="17CD4718" w14:textId="77777777" w:rsidTr="00362134">
        <w:tc>
          <w:tcPr>
            <w:tcW w:w="3402" w:type="dxa"/>
            <w:shd w:val="clear" w:color="auto" w:fill="auto"/>
          </w:tcPr>
          <w:p w14:paraId="79B4A979" w14:textId="7D3FB1EC" w:rsidR="00FA6009" w:rsidRPr="00FA6009" w:rsidRDefault="00FA6009" w:rsidP="00FA6009">
            <w:pPr>
              <w:pStyle w:val="Normal1linespace"/>
              <w:widowControl w:val="0"/>
              <w:jc w:val="left"/>
            </w:pPr>
            <w:r w:rsidRPr="00FA6009">
              <w:t>Counsel for the Applicants:</w:t>
            </w:r>
          </w:p>
        </w:tc>
        <w:tc>
          <w:tcPr>
            <w:tcW w:w="5989" w:type="dxa"/>
            <w:shd w:val="clear" w:color="auto" w:fill="auto"/>
          </w:tcPr>
          <w:p w14:paraId="22D67182" w14:textId="72CAA833" w:rsidR="00FA6009" w:rsidRPr="00FA6009" w:rsidRDefault="001B3548" w:rsidP="00FA6009">
            <w:pPr>
              <w:pStyle w:val="Normal1linespace"/>
              <w:widowControl w:val="0"/>
              <w:jc w:val="left"/>
            </w:pPr>
            <w:r>
              <w:t>Mr </w:t>
            </w:r>
            <w:r w:rsidR="00FA6009" w:rsidRPr="00FA6009">
              <w:t xml:space="preserve">J Gleeson KC with </w:t>
            </w:r>
            <w:r w:rsidR="00232F19">
              <w:t>Ms </w:t>
            </w:r>
            <w:r w:rsidR="00FA6009" w:rsidRPr="00FA6009">
              <w:t xml:space="preserve">G </w:t>
            </w:r>
            <w:proofErr w:type="spellStart"/>
            <w:r w:rsidR="00FA6009" w:rsidRPr="00FA6009">
              <w:t>Crafti</w:t>
            </w:r>
            <w:proofErr w:type="spellEnd"/>
            <w:r w:rsidR="00FA6009" w:rsidRPr="00FA6009">
              <w:t xml:space="preserve"> SC</w:t>
            </w:r>
            <w:r w:rsidR="00FC0046">
              <w:t xml:space="preserve"> and </w:t>
            </w:r>
            <w:r w:rsidR="00232F19">
              <w:t>Ms </w:t>
            </w:r>
            <w:r w:rsidR="00FA6009" w:rsidRPr="00FA6009">
              <w:t>E</w:t>
            </w:r>
            <w:r w:rsidR="006E28FA">
              <w:t> </w:t>
            </w:r>
            <w:r w:rsidR="00FA6009" w:rsidRPr="00FA6009">
              <w:t>Bateman</w:t>
            </w:r>
          </w:p>
        </w:tc>
      </w:tr>
      <w:tr w:rsidR="00FA6009" w:rsidRPr="00960C99" w14:paraId="3E7FA4F0" w14:textId="77777777" w:rsidTr="00362134">
        <w:tc>
          <w:tcPr>
            <w:tcW w:w="3402" w:type="dxa"/>
            <w:shd w:val="clear" w:color="auto" w:fill="auto"/>
          </w:tcPr>
          <w:p w14:paraId="392D2668" w14:textId="77777777" w:rsidR="00FA6009" w:rsidRPr="00960C99" w:rsidRDefault="00FA6009" w:rsidP="00FA6009">
            <w:pPr>
              <w:pStyle w:val="Normal1linespace"/>
              <w:widowControl w:val="0"/>
              <w:jc w:val="left"/>
              <w:rPr>
                <w:sz w:val="22"/>
                <w:szCs w:val="22"/>
              </w:rPr>
            </w:pPr>
          </w:p>
        </w:tc>
        <w:tc>
          <w:tcPr>
            <w:tcW w:w="5989" w:type="dxa"/>
            <w:shd w:val="clear" w:color="auto" w:fill="auto"/>
          </w:tcPr>
          <w:p w14:paraId="14273096" w14:textId="77777777" w:rsidR="00FA6009" w:rsidRPr="00C85122" w:rsidRDefault="00FA6009" w:rsidP="00FA6009">
            <w:pPr>
              <w:pStyle w:val="Normal1linespace"/>
              <w:widowControl w:val="0"/>
              <w:jc w:val="left"/>
              <w:rPr>
                <w:sz w:val="22"/>
                <w:szCs w:val="22"/>
              </w:rPr>
            </w:pPr>
          </w:p>
        </w:tc>
      </w:tr>
      <w:tr w:rsidR="00FA6009" w14:paraId="4836344D" w14:textId="77777777" w:rsidTr="00362134">
        <w:tc>
          <w:tcPr>
            <w:tcW w:w="3402" w:type="dxa"/>
            <w:shd w:val="clear" w:color="auto" w:fill="auto"/>
          </w:tcPr>
          <w:p w14:paraId="41E758BD" w14:textId="0F99AE16" w:rsidR="00FA6009" w:rsidRDefault="00FA6009" w:rsidP="00FA6009">
            <w:pPr>
              <w:pStyle w:val="Normal1linespace"/>
              <w:widowControl w:val="0"/>
              <w:jc w:val="left"/>
            </w:pPr>
            <w:r>
              <w:t>Solicitor for the Applicants:</w:t>
            </w:r>
          </w:p>
        </w:tc>
        <w:tc>
          <w:tcPr>
            <w:tcW w:w="5989" w:type="dxa"/>
            <w:shd w:val="clear" w:color="auto" w:fill="auto"/>
          </w:tcPr>
          <w:p w14:paraId="6344246C" w14:textId="1AF68EB1" w:rsidR="00FA6009" w:rsidRPr="00C85122" w:rsidRDefault="00FA6009" w:rsidP="00FA6009">
            <w:pPr>
              <w:pStyle w:val="Normal1linespace"/>
              <w:widowControl w:val="0"/>
              <w:jc w:val="left"/>
            </w:pPr>
            <w:r w:rsidRPr="00C85122">
              <w:t>Corrs Chambers Westgarth</w:t>
            </w:r>
          </w:p>
        </w:tc>
      </w:tr>
      <w:tr w:rsidR="00FA6009" w:rsidRPr="00960C99" w14:paraId="5F04C3D4" w14:textId="77777777" w:rsidTr="00362134">
        <w:tc>
          <w:tcPr>
            <w:tcW w:w="3402" w:type="dxa"/>
            <w:shd w:val="clear" w:color="auto" w:fill="auto"/>
          </w:tcPr>
          <w:p w14:paraId="62814B7B" w14:textId="77777777" w:rsidR="00FA6009" w:rsidRPr="00960C99" w:rsidRDefault="00FA6009" w:rsidP="00FA6009">
            <w:pPr>
              <w:pStyle w:val="Normal1linespace"/>
              <w:widowControl w:val="0"/>
              <w:jc w:val="left"/>
              <w:rPr>
                <w:sz w:val="22"/>
                <w:szCs w:val="22"/>
              </w:rPr>
            </w:pPr>
          </w:p>
        </w:tc>
        <w:tc>
          <w:tcPr>
            <w:tcW w:w="5989" w:type="dxa"/>
            <w:shd w:val="clear" w:color="auto" w:fill="auto"/>
          </w:tcPr>
          <w:p w14:paraId="1539A1E6" w14:textId="77777777" w:rsidR="00FA6009" w:rsidRPr="00C85122" w:rsidRDefault="00FA6009" w:rsidP="00FA6009">
            <w:pPr>
              <w:pStyle w:val="Normal1linespace"/>
              <w:widowControl w:val="0"/>
              <w:jc w:val="left"/>
              <w:rPr>
                <w:sz w:val="22"/>
                <w:szCs w:val="22"/>
              </w:rPr>
            </w:pPr>
          </w:p>
        </w:tc>
      </w:tr>
      <w:tr w:rsidR="00FA6009" w14:paraId="7ABAFEFB" w14:textId="77777777" w:rsidTr="00362134">
        <w:tc>
          <w:tcPr>
            <w:tcW w:w="3402" w:type="dxa"/>
            <w:shd w:val="clear" w:color="auto" w:fill="auto"/>
          </w:tcPr>
          <w:p w14:paraId="54D97C99" w14:textId="15B84581" w:rsidR="00FA6009" w:rsidRDefault="00FA6009" w:rsidP="00FA6009">
            <w:pPr>
              <w:pStyle w:val="Normal1linespace"/>
              <w:widowControl w:val="0"/>
              <w:jc w:val="left"/>
            </w:pPr>
            <w:r>
              <w:t>Counsel for the Respondents:</w:t>
            </w:r>
          </w:p>
        </w:tc>
        <w:tc>
          <w:tcPr>
            <w:tcW w:w="5989" w:type="dxa"/>
            <w:shd w:val="clear" w:color="auto" w:fill="auto"/>
          </w:tcPr>
          <w:p w14:paraId="368DD898" w14:textId="39785B63" w:rsidR="00FA6009" w:rsidRPr="00C85122" w:rsidRDefault="001B3548" w:rsidP="00FA6009">
            <w:pPr>
              <w:pStyle w:val="Normal1linespace"/>
              <w:widowControl w:val="0"/>
              <w:jc w:val="left"/>
            </w:pPr>
            <w:r>
              <w:t>Mr </w:t>
            </w:r>
            <w:r w:rsidR="007468F9">
              <w:t>N Kirby</w:t>
            </w:r>
          </w:p>
        </w:tc>
      </w:tr>
      <w:tr w:rsidR="00FA6009" w:rsidRPr="00960C99" w14:paraId="470E2A26" w14:textId="77777777" w:rsidTr="00362134">
        <w:tc>
          <w:tcPr>
            <w:tcW w:w="3402" w:type="dxa"/>
            <w:shd w:val="clear" w:color="auto" w:fill="auto"/>
          </w:tcPr>
          <w:p w14:paraId="72D4D320" w14:textId="77777777" w:rsidR="00FA6009" w:rsidRPr="00960C99" w:rsidRDefault="00FA6009" w:rsidP="00FA6009">
            <w:pPr>
              <w:pStyle w:val="Normal1linespace"/>
              <w:widowControl w:val="0"/>
              <w:jc w:val="left"/>
              <w:rPr>
                <w:sz w:val="22"/>
                <w:szCs w:val="22"/>
              </w:rPr>
            </w:pPr>
          </w:p>
        </w:tc>
        <w:tc>
          <w:tcPr>
            <w:tcW w:w="5989" w:type="dxa"/>
            <w:shd w:val="clear" w:color="auto" w:fill="auto"/>
          </w:tcPr>
          <w:p w14:paraId="69B45AD9" w14:textId="77777777" w:rsidR="00FA6009" w:rsidRPr="00C85122" w:rsidRDefault="00FA6009" w:rsidP="00FA6009">
            <w:pPr>
              <w:pStyle w:val="Normal1linespace"/>
              <w:widowControl w:val="0"/>
              <w:jc w:val="left"/>
              <w:rPr>
                <w:sz w:val="22"/>
                <w:szCs w:val="22"/>
              </w:rPr>
            </w:pPr>
          </w:p>
        </w:tc>
      </w:tr>
      <w:tr w:rsidR="00FA6009" w14:paraId="659873E6" w14:textId="77777777" w:rsidTr="00362134">
        <w:tc>
          <w:tcPr>
            <w:tcW w:w="3402" w:type="dxa"/>
            <w:shd w:val="clear" w:color="auto" w:fill="auto"/>
          </w:tcPr>
          <w:p w14:paraId="0573BC30" w14:textId="594F3297" w:rsidR="00FA6009" w:rsidRDefault="00FA6009" w:rsidP="00FA6009">
            <w:pPr>
              <w:pStyle w:val="Normal1linespace"/>
              <w:widowControl w:val="0"/>
              <w:jc w:val="left"/>
            </w:pPr>
            <w:r>
              <w:t>Solicitor for the Respondents:</w:t>
            </w:r>
          </w:p>
        </w:tc>
        <w:tc>
          <w:tcPr>
            <w:tcW w:w="5989" w:type="dxa"/>
            <w:shd w:val="clear" w:color="auto" w:fill="auto"/>
          </w:tcPr>
          <w:p w14:paraId="440742BF" w14:textId="12D9152F" w:rsidR="00FA6009" w:rsidRPr="00C85122" w:rsidRDefault="00FA6009" w:rsidP="00FA6009">
            <w:pPr>
              <w:pStyle w:val="Normal1linespace"/>
              <w:widowControl w:val="0"/>
              <w:jc w:val="left"/>
            </w:pPr>
            <w:r w:rsidRPr="00C85122">
              <w:t>Clayton Utz</w:t>
            </w:r>
          </w:p>
        </w:tc>
      </w:tr>
      <w:tr w:rsidR="00FA6009" w:rsidRPr="00960C99" w14:paraId="3AA99D8F" w14:textId="77777777" w:rsidTr="00362134">
        <w:tc>
          <w:tcPr>
            <w:tcW w:w="3402" w:type="dxa"/>
            <w:shd w:val="clear" w:color="auto" w:fill="auto"/>
          </w:tcPr>
          <w:p w14:paraId="24A32895" w14:textId="77777777" w:rsidR="00FA6009" w:rsidRPr="00960C99" w:rsidRDefault="00FA6009" w:rsidP="00FA6009">
            <w:pPr>
              <w:pStyle w:val="Normal1linespace"/>
              <w:widowControl w:val="0"/>
              <w:jc w:val="left"/>
              <w:rPr>
                <w:sz w:val="22"/>
                <w:szCs w:val="22"/>
              </w:rPr>
            </w:pPr>
          </w:p>
        </w:tc>
        <w:tc>
          <w:tcPr>
            <w:tcW w:w="5989" w:type="dxa"/>
            <w:shd w:val="clear" w:color="auto" w:fill="auto"/>
          </w:tcPr>
          <w:p w14:paraId="2258906E" w14:textId="77777777" w:rsidR="00FA6009" w:rsidRPr="00C85122" w:rsidRDefault="00FA6009" w:rsidP="00FA6009">
            <w:pPr>
              <w:pStyle w:val="Normal1linespace"/>
              <w:widowControl w:val="0"/>
              <w:jc w:val="left"/>
              <w:rPr>
                <w:sz w:val="22"/>
                <w:szCs w:val="22"/>
              </w:rPr>
            </w:pPr>
          </w:p>
        </w:tc>
      </w:tr>
      <w:tr w:rsidR="00FA6009" w14:paraId="5E322A4C" w14:textId="77777777" w:rsidTr="00362134">
        <w:tc>
          <w:tcPr>
            <w:tcW w:w="3402" w:type="dxa"/>
            <w:shd w:val="clear" w:color="auto" w:fill="auto"/>
          </w:tcPr>
          <w:p w14:paraId="180E4960" w14:textId="4E54A4B2" w:rsidR="00FA6009" w:rsidRDefault="00FA6009" w:rsidP="00FA6009">
            <w:pPr>
              <w:pStyle w:val="Normal1linespace"/>
              <w:widowControl w:val="0"/>
              <w:jc w:val="left"/>
            </w:pPr>
            <w:r>
              <w:t>Counsel for the Cross</w:t>
            </w:r>
            <w:r>
              <w:noBreakHyphen/>
              <w:t>Claimants:</w:t>
            </w:r>
          </w:p>
        </w:tc>
        <w:tc>
          <w:tcPr>
            <w:tcW w:w="5989" w:type="dxa"/>
            <w:shd w:val="clear" w:color="auto" w:fill="auto"/>
          </w:tcPr>
          <w:p w14:paraId="772193DB" w14:textId="6CFFF7BE" w:rsidR="00FA6009" w:rsidRPr="00C85122" w:rsidRDefault="001B3548" w:rsidP="00FA6009">
            <w:pPr>
              <w:pStyle w:val="Normal1linespace"/>
              <w:widowControl w:val="0"/>
              <w:jc w:val="left"/>
            </w:pPr>
            <w:r>
              <w:t>Mr </w:t>
            </w:r>
            <w:r w:rsidR="007468F9">
              <w:t>N Kirby</w:t>
            </w:r>
          </w:p>
        </w:tc>
      </w:tr>
      <w:tr w:rsidR="00FA6009" w:rsidRPr="00960C99" w14:paraId="363E0C0F" w14:textId="77777777" w:rsidTr="00362134">
        <w:tc>
          <w:tcPr>
            <w:tcW w:w="3402" w:type="dxa"/>
            <w:shd w:val="clear" w:color="auto" w:fill="auto"/>
          </w:tcPr>
          <w:p w14:paraId="458D9B9F" w14:textId="77777777" w:rsidR="00FA6009" w:rsidRPr="00960C99" w:rsidRDefault="00FA6009" w:rsidP="00FA6009">
            <w:pPr>
              <w:pStyle w:val="Normal1linespace"/>
              <w:widowControl w:val="0"/>
              <w:jc w:val="left"/>
              <w:rPr>
                <w:sz w:val="22"/>
                <w:szCs w:val="22"/>
              </w:rPr>
            </w:pPr>
          </w:p>
        </w:tc>
        <w:tc>
          <w:tcPr>
            <w:tcW w:w="5989" w:type="dxa"/>
            <w:shd w:val="clear" w:color="auto" w:fill="auto"/>
          </w:tcPr>
          <w:p w14:paraId="6497FFD2" w14:textId="77777777" w:rsidR="00FA6009" w:rsidRPr="00C85122" w:rsidRDefault="00FA6009" w:rsidP="00FA6009">
            <w:pPr>
              <w:pStyle w:val="Normal1linespace"/>
              <w:widowControl w:val="0"/>
              <w:jc w:val="left"/>
              <w:rPr>
                <w:sz w:val="22"/>
                <w:szCs w:val="22"/>
              </w:rPr>
            </w:pPr>
          </w:p>
        </w:tc>
      </w:tr>
      <w:tr w:rsidR="00FA6009" w14:paraId="544FAB4A" w14:textId="77777777" w:rsidTr="00362134">
        <w:tc>
          <w:tcPr>
            <w:tcW w:w="3402" w:type="dxa"/>
            <w:shd w:val="clear" w:color="auto" w:fill="auto"/>
          </w:tcPr>
          <w:p w14:paraId="05615D17" w14:textId="203F1257" w:rsidR="00FA6009" w:rsidRDefault="00FA6009" w:rsidP="00FA6009">
            <w:pPr>
              <w:pStyle w:val="Normal1linespace"/>
              <w:widowControl w:val="0"/>
              <w:jc w:val="left"/>
            </w:pPr>
            <w:r>
              <w:t>Solicitor for the Cross</w:t>
            </w:r>
            <w:r>
              <w:noBreakHyphen/>
              <w:t>Claimants:</w:t>
            </w:r>
          </w:p>
        </w:tc>
        <w:tc>
          <w:tcPr>
            <w:tcW w:w="5989" w:type="dxa"/>
            <w:shd w:val="clear" w:color="auto" w:fill="auto"/>
          </w:tcPr>
          <w:p w14:paraId="033CF355" w14:textId="78F1E42C" w:rsidR="00FA6009" w:rsidRPr="00C85122" w:rsidRDefault="00FA6009" w:rsidP="00FA6009">
            <w:pPr>
              <w:pStyle w:val="Normal1linespace"/>
              <w:widowControl w:val="0"/>
              <w:jc w:val="left"/>
            </w:pPr>
            <w:r w:rsidRPr="00C85122">
              <w:t>Clayton Utz</w:t>
            </w:r>
          </w:p>
        </w:tc>
      </w:tr>
      <w:tr w:rsidR="00FA6009" w:rsidRPr="00960C99" w14:paraId="176FF008" w14:textId="77777777" w:rsidTr="00362134">
        <w:tc>
          <w:tcPr>
            <w:tcW w:w="3402" w:type="dxa"/>
            <w:shd w:val="clear" w:color="auto" w:fill="auto"/>
          </w:tcPr>
          <w:p w14:paraId="0F6B248F" w14:textId="77777777" w:rsidR="00FA6009" w:rsidRPr="00960C99" w:rsidRDefault="00FA6009" w:rsidP="00FA6009">
            <w:pPr>
              <w:pStyle w:val="Normal1linespace"/>
              <w:widowControl w:val="0"/>
              <w:jc w:val="left"/>
              <w:rPr>
                <w:sz w:val="22"/>
                <w:szCs w:val="22"/>
              </w:rPr>
            </w:pPr>
          </w:p>
        </w:tc>
        <w:tc>
          <w:tcPr>
            <w:tcW w:w="5989" w:type="dxa"/>
            <w:shd w:val="clear" w:color="auto" w:fill="auto"/>
          </w:tcPr>
          <w:p w14:paraId="1C6630EF" w14:textId="77777777" w:rsidR="00FA6009" w:rsidRPr="00C85122" w:rsidRDefault="00FA6009" w:rsidP="00FA6009">
            <w:pPr>
              <w:pStyle w:val="Normal1linespace"/>
              <w:widowControl w:val="0"/>
              <w:jc w:val="left"/>
              <w:rPr>
                <w:sz w:val="22"/>
                <w:szCs w:val="22"/>
              </w:rPr>
            </w:pPr>
          </w:p>
        </w:tc>
      </w:tr>
      <w:tr w:rsidR="00FA6009" w14:paraId="7DB24D8B" w14:textId="77777777" w:rsidTr="00362134">
        <w:tc>
          <w:tcPr>
            <w:tcW w:w="3402" w:type="dxa"/>
            <w:shd w:val="clear" w:color="auto" w:fill="auto"/>
          </w:tcPr>
          <w:p w14:paraId="3C582704" w14:textId="2EAF46A2" w:rsidR="00FA6009" w:rsidRDefault="00FA6009" w:rsidP="00FA6009">
            <w:pPr>
              <w:pStyle w:val="Normal1linespace"/>
              <w:widowControl w:val="0"/>
              <w:jc w:val="left"/>
            </w:pPr>
            <w:r>
              <w:t>Counsel for the First and Second Cross-Respondents:</w:t>
            </w:r>
          </w:p>
        </w:tc>
        <w:tc>
          <w:tcPr>
            <w:tcW w:w="5989" w:type="dxa"/>
            <w:shd w:val="clear" w:color="auto" w:fill="auto"/>
          </w:tcPr>
          <w:p w14:paraId="1CDDA291" w14:textId="7341F974" w:rsidR="00FA6009" w:rsidRPr="00C85122" w:rsidRDefault="001B3548" w:rsidP="00FA6009">
            <w:pPr>
              <w:pStyle w:val="Normal1linespace"/>
              <w:widowControl w:val="0"/>
              <w:jc w:val="left"/>
            </w:pPr>
            <w:r>
              <w:t>Mr </w:t>
            </w:r>
            <w:r w:rsidR="00FC0046" w:rsidRPr="00FA6009">
              <w:t xml:space="preserve">J Gleeson KC with </w:t>
            </w:r>
            <w:r w:rsidR="00232F19">
              <w:t>Ms </w:t>
            </w:r>
            <w:r w:rsidR="00FC0046" w:rsidRPr="00FA6009">
              <w:t xml:space="preserve">G </w:t>
            </w:r>
            <w:proofErr w:type="spellStart"/>
            <w:r w:rsidR="00FC0046" w:rsidRPr="00FA6009">
              <w:t>Crafti</w:t>
            </w:r>
            <w:proofErr w:type="spellEnd"/>
            <w:r w:rsidR="00FC0046" w:rsidRPr="00FA6009">
              <w:t xml:space="preserve"> SC</w:t>
            </w:r>
            <w:r w:rsidR="00FC0046">
              <w:t xml:space="preserve"> and </w:t>
            </w:r>
            <w:r w:rsidR="00232F19">
              <w:t>Ms </w:t>
            </w:r>
            <w:r w:rsidR="00FC0046" w:rsidRPr="00FA6009">
              <w:t>E</w:t>
            </w:r>
            <w:r w:rsidR="006E28FA">
              <w:t> </w:t>
            </w:r>
            <w:r w:rsidR="00FC0046" w:rsidRPr="00FA6009">
              <w:t>Bateman</w:t>
            </w:r>
          </w:p>
        </w:tc>
      </w:tr>
      <w:tr w:rsidR="00FA6009" w:rsidRPr="00C84509" w14:paraId="4CA86AB4" w14:textId="77777777" w:rsidTr="00362134">
        <w:tc>
          <w:tcPr>
            <w:tcW w:w="3402" w:type="dxa"/>
            <w:shd w:val="clear" w:color="auto" w:fill="auto"/>
          </w:tcPr>
          <w:p w14:paraId="3C55C887" w14:textId="77777777" w:rsidR="00FA6009" w:rsidRPr="00C84509" w:rsidRDefault="00FA6009" w:rsidP="00FA6009">
            <w:pPr>
              <w:pStyle w:val="Normal1linespace"/>
              <w:widowControl w:val="0"/>
              <w:jc w:val="left"/>
              <w:rPr>
                <w:szCs w:val="24"/>
              </w:rPr>
            </w:pPr>
          </w:p>
        </w:tc>
        <w:tc>
          <w:tcPr>
            <w:tcW w:w="5989" w:type="dxa"/>
            <w:shd w:val="clear" w:color="auto" w:fill="auto"/>
          </w:tcPr>
          <w:p w14:paraId="41FAC6C6" w14:textId="77777777" w:rsidR="00FA6009" w:rsidRPr="00C85122" w:rsidRDefault="00FA6009" w:rsidP="00FA6009">
            <w:pPr>
              <w:pStyle w:val="Normal1linespace"/>
              <w:widowControl w:val="0"/>
              <w:jc w:val="left"/>
              <w:rPr>
                <w:szCs w:val="24"/>
              </w:rPr>
            </w:pPr>
          </w:p>
        </w:tc>
      </w:tr>
      <w:tr w:rsidR="00FA6009" w14:paraId="08367DEB" w14:textId="77777777" w:rsidTr="00362134">
        <w:tc>
          <w:tcPr>
            <w:tcW w:w="3402" w:type="dxa"/>
            <w:shd w:val="clear" w:color="auto" w:fill="auto"/>
          </w:tcPr>
          <w:p w14:paraId="74124DE2" w14:textId="15358314" w:rsidR="00FA6009" w:rsidRDefault="00FA6009" w:rsidP="00FA6009">
            <w:pPr>
              <w:pStyle w:val="Normal1linespace"/>
              <w:widowControl w:val="0"/>
              <w:jc w:val="left"/>
            </w:pPr>
            <w:r>
              <w:t>Solicitor for the First and Second Cross-Respondents:</w:t>
            </w:r>
          </w:p>
        </w:tc>
        <w:tc>
          <w:tcPr>
            <w:tcW w:w="5989" w:type="dxa"/>
            <w:shd w:val="clear" w:color="auto" w:fill="auto"/>
          </w:tcPr>
          <w:p w14:paraId="7D42D6C7" w14:textId="24AF52B3" w:rsidR="00FA6009" w:rsidRPr="00C85122" w:rsidRDefault="00FA6009" w:rsidP="00FA6009">
            <w:pPr>
              <w:pStyle w:val="Normal1linespace"/>
              <w:widowControl w:val="0"/>
              <w:jc w:val="left"/>
            </w:pPr>
            <w:r w:rsidRPr="00C85122">
              <w:t>Corrs Chambers Westgarth</w:t>
            </w:r>
          </w:p>
        </w:tc>
      </w:tr>
      <w:tr w:rsidR="00FA6009" w:rsidRPr="009025B9" w14:paraId="6926FDAF" w14:textId="77777777" w:rsidTr="00362134">
        <w:tc>
          <w:tcPr>
            <w:tcW w:w="3402" w:type="dxa"/>
            <w:shd w:val="clear" w:color="auto" w:fill="auto"/>
          </w:tcPr>
          <w:p w14:paraId="2D8949F5" w14:textId="77777777" w:rsidR="00FA6009" w:rsidRPr="009025B9" w:rsidRDefault="00FA6009" w:rsidP="00FA6009">
            <w:pPr>
              <w:pStyle w:val="Normal1linespace"/>
              <w:widowControl w:val="0"/>
              <w:jc w:val="left"/>
              <w:rPr>
                <w:sz w:val="22"/>
                <w:szCs w:val="22"/>
              </w:rPr>
            </w:pPr>
          </w:p>
        </w:tc>
        <w:tc>
          <w:tcPr>
            <w:tcW w:w="5989" w:type="dxa"/>
            <w:shd w:val="clear" w:color="auto" w:fill="auto"/>
          </w:tcPr>
          <w:p w14:paraId="06E70E94" w14:textId="77777777" w:rsidR="00FA6009" w:rsidRPr="00C85122" w:rsidRDefault="00FA6009" w:rsidP="00FA6009">
            <w:pPr>
              <w:pStyle w:val="Normal1linespace"/>
              <w:widowControl w:val="0"/>
              <w:jc w:val="left"/>
              <w:rPr>
                <w:sz w:val="22"/>
                <w:szCs w:val="22"/>
              </w:rPr>
            </w:pPr>
          </w:p>
        </w:tc>
      </w:tr>
      <w:tr w:rsidR="00FA6009" w14:paraId="20D57140" w14:textId="77777777" w:rsidTr="00362134">
        <w:tc>
          <w:tcPr>
            <w:tcW w:w="3402" w:type="dxa"/>
            <w:shd w:val="clear" w:color="auto" w:fill="auto"/>
          </w:tcPr>
          <w:p w14:paraId="17DF0C13" w14:textId="40F26205" w:rsidR="00FA6009" w:rsidRDefault="00FA6009" w:rsidP="00FA6009">
            <w:pPr>
              <w:pStyle w:val="Normal1linespace"/>
              <w:widowControl w:val="0"/>
              <w:jc w:val="left"/>
            </w:pPr>
            <w:r>
              <w:t>Counsel for the Third Cross</w:t>
            </w:r>
            <w:r>
              <w:noBreakHyphen/>
              <w:t>Respondent:</w:t>
            </w:r>
          </w:p>
        </w:tc>
        <w:tc>
          <w:tcPr>
            <w:tcW w:w="5989" w:type="dxa"/>
            <w:shd w:val="clear" w:color="auto" w:fill="auto"/>
          </w:tcPr>
          <w:p w14:paraId="62DF0526" w14:textId="6FEE07AA" w:rsidR="00FA6009" w:rsidRPr="00C85122" w:rsidRDefault="00993D00" w:rsidP="00FA6009">
            <w:pPr>
              <w:pStyle w:val="Normal1linespace"/>
              <w:widowControl w:val="0"/>
              <w:jc w:val="left"/>
            </w:pPr>
            <w:r>
              <w:t>The third-cross respondent did not appear</w:t>
            </w:r>
          </w:p>
        </w:tc>
      </w:tr>
      <w:bookmarkEnd w:id="9"/>
    </w:tbl>
    <w:p w14:paraId="548952AD" w14:textId="77777777" w:rsidR="007470BD" w:rsidRDefault="007470BD">
      <w:pPr>
        <w:pStyle w:val="Normal1linespace"/>
      </w:pPr>
    </w:p>
    <w:p w14:paraId="3335A8BD" w14:textId="77777777" w:rsidR="0077139F" w:rsidRDefault="0077139F">
      <w:pPr>
        <w:pStyle w:val="Normal1linespace"/>
      </w:pPr>
    </w:p>
    <w:p w14:paraId="2C973819" w14:textId="77777777" w:rsidR="00395B24" w:rsidRDefault="00395B24">
      <w:pPr>
        <w:pStyle w:val="Normal1linespace"/>
        <w:sectPr w:rsidR="00395B24" w:rsidSect="00E77422">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404FDDF7"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2121B03" w14:textId="77777777" w:rsidTr="00E81DA6">
        <w:tc>
          <w:tcPr>
            <w:tcW w:w="6912" w:type="dxa"/>
            <w:gridSpan w:val="2"/>
          </w:tcPr>
          <w:p w14:paraId="53032020" w14:textId="77777777" w:rsidR="00A46CCC" w:rsidRPr="001765E0" w:rsidRDefault="00A46CCC" w:rsidP="00525A49">
            <w:pPr>
              <w:pStyle w:val="NormalHeadings"/>
            </w:pPr>
          </w:p>
        </w:tc>
        <w:tc>
          <w:tcPr>
            <w:tcW w:w="2330" w:type="dxa"/>
          </w:tcPr>
          <w:p w14:paraId="6C0E0CE8" w14:textId="7F55FF15" w:rsidR="00A46CCC" w:rsidRDefault="00BE3EBC" w:rsidP="00BE3EBC">
            <w:pPr>
              <w:pStyle w:val="NormalHeadings"/>
              <w:jc w:val="right"/>
            </w:pPr>
            <w:bookmarkStart w:id="11" w:name="FileNo"/>
            <w:r>
              <w:t>WAD 162 of 2021</w:t>
            </w:r>
            <w:bookmarkEnd w:id="11"/>
          </w:p>
        </w:tc>
      </w:tr>
      <w:tr w:rsidR="00A76C13" w14:paraId="7E812807" w14:textId="77777777" w:rsidTr="00F461A4">
        <w:tc>
          <w:tcPr>
            <w:tcW w:w="9242" w:type="dxa"/>
            <w:gridSpan w:val="3"/>
          </w:tcPr>
          <w:p w14:paraId="3BA3304F" w14:textId="47F4CD69" w:rsidR="00A76C13" w:rsidRPr="00A76C13" w:rsidRDefault="00BE3EBC" w:rsidP="00BE3EBC">
            <w:pPr>
              <w:pStyle w:val="NormalHeadings"/>
              <w:jc w:val="left"/>
            </w:pPr>
            <w:bookmarkStart w:id="12" w:name="InTheMatterOf"/>
            <w:r>
              <w:t xml:space="preserve"> </w:t>
            </w:r>
            <w:bookmarkEnd w:id="12"/>
          </w:p>
        </w:tc>
      </w:tr>
      <w:tr w:rsidR="00A46CCC" w14:paraId="43B1C250" w14:textId="77777777" w:rsidTr="005041F0">
        <w:trPr>
          <w:trHeight w:val="386"/>
        </w:trPr>
        <w:tc>
          <w:tcPr>
            <w:tcW w:w="2376" w:type="dxa"/>
          </w:tcPr>
          <w:p w14:paraId="3BE992DF" w14:textId="77777777" w:rsidR="00A46CCC" w:rsidRDefault="00A46CCC" w:rsidP="005041F0">
            <w:pPr>
              <w:pStyle w:val="NormalHeadings"/>
              <w:jc w:val="left"/>
              <w:rPr>
                <w:caps/>
                <w:szCs w:val="24"/>
              </w:rPr>
            </w:pPr>
            <w:bookmarkStart w:id="13" w:name="Parties"/>
            <w:r>
              <w:rPr>
                <w:caps/>
                <w:szCs w:val="24"/>
              </w:rPr>
              <w:t>BETWEEN:</w:t>
            </w:r>
          </w:p>
        </w:tc>
        <w:tc>
          <w:tcPr>
            <w:tcW w:w="6866" w:type="dxa"/>
            <w:gridSpan w:val="2"/>
          </w:tcPr>
          <w:p w14:paraId="27AB202E" w14:textId="77777777" w:rsidR="00BE3EBC" w:rsidRDefault="00BE3EBC" w:rsidP="00BE3EBC">
            <w:pPr>
              <w:pStyle w:val="NormalHeadings"/>
              <w:jc w:val="left"/>
            </w:pPr>
            <w:bookmarkStart w:id="14" w:name="Applicant"/>
            <w:r>
              <w:t>INPEX OPERATIONS AUSTRALIA PTY LTD</w:t>
            </w:r>
          </w:p>
          <w:p w14:paraId="38CF17CE" w14:textId="77777777" w:rsidR="00BE3EBC" w:rsidRDefault="00BE3EBC" w:rsidP="00BE3EBC">
            <w:pPr>
              <w:pStyle w:val="PartyType"/>
            </w:pPr>
            <w:r>
              <w:t>First Applicant</w:t>
            </w:r>
          </w:p>
          <w:p w14:paraId="1CFE3BC4" w14:textId="77777777" w:rsidR="00BE3EBC" w:rsidRDefault="00BE3EBC" w:rsidP="005041F0">
            <w:pPr>
              <w:pStyle w:val="NormalHeadings"/>
              <w:jc w:val="left"/>
              <w:rPr>
                <w:szCs w:val="24"/>
              </w:rPr>
            </w:pPr>
          </w:p>
          <w:p w14:paraId="34F8A2D8" w14:textId="77777777" w:rsidR="00BE3EBC" w:rsidRDefault="00BE3EBC" w:rsidP="00BE3EBC">
            <w:pPr>
              <w:pStyle w:val="NormalHeadings"/>
              <w:jc w:val="left"/>
            </w:pPr>
            <w:r>
              <w:t>ICHTHYS LNG PTY LTD</w:t>
            </w:r>
          </w:p>
          <w:p w14:paraId="36D7E4AA" w14:textId="77777777" w:rsidR="00BE3EBC" w:rsidRDefault="00BE3EBC" w:rsidP="00BE3EBC">
            <w:pPr>
              <w:pStyle w:val="PartyType"/>
            </w:pPr>
            <w:r>
              <w:t>Second Applicant</w:t>
            </w:r>
          </w:p>
          <w:bookmarkEnd w:id="14"/>
          <w:p w14:paraId="0AB45872" w14:textId="418C1A40" w:rsidR="00A46CCC" w:rsidRPr="006555B4" w:rsidRDefault="00A46CCC" w:rsidP="005041F0">
            <w:pPr>
              <w:pStyle w:val="NormalHeadings"/>
              <w:jc w:val="left"/>
            </w:pPr>
          </w:p>
        </w:tc>
      </w:tr>
      <w:tr w:rsidR="00A46CCC" w14:paraId="71EE13E7" w14:textId="77777777" w:rsidTr="005041F0">
        <w:trPr>
          <w:trHeight w:val="386"/>
        </w:trPr>
        <w:tc>
          <w:tcPr>
            <w:tcW w:w="2376" w:type="dxa"/>
          </w:tcPr>
          <w:p w14:paraId="15785A0C" w14:textId="77777777" w:rsidR="00A46CCC" w:rsidRDefault="00A46CCC" w:rsidP="005041F0">
            <w:pPr>
              <w:pStyle w:val="NormalHeadings"/>
              <w:jc w:val="left"/>
              <w:rPr>
                <w:caps/>
                <w:szCs w:val="24"/>
              </w:rPr>
            </w:pPr>
            <w:r>
              <w:rPr>
                <w:caps/>
                <w:szCs w:val="24"/>
              </w:rPr>
              <w:t>AND:</w:t>
            </w:r>
          </w:p>
        </w:tc>
        <w:tc>
          <w:tcPr>
            <w:tcW w:w="6866" w:type="dxa"/>
            <w:gridSpan w:val="2"/>
          </w:tcPr>
          <w:p w14:paraId="1706374F" w14:textId="77777777" w:rsidR="00BE3EBC" w:rsidRDefault="00BE3EBC" w:rsidP="00BE3EBC">
            <w:pPr>
              <w:pStyle w:val="NormalHeadings"/>
              <w:jc w:val="left"/>
            </w:pPr>
            <w:bookmarkStart w:id="15" w:name="Respondent"/>
            <w:r>
              <w:t>AKZONOBEL NV</w:t>
            </w:r>
          </w:p>
          <w:p w14:paraId="4F039255" w14:textId="77777777" w:rsidR="00BE3EBC" w:rsidRDefault="00BE3EBC" w:rsidP="00BE3EBC">
            <w:pPr>
              <w:pStyle w:val="PartyType"/>
            </w:pPr>
            <w:r>
              <w:t>First Respondent</w:t>
            </w:r>
          </w:p>
          <w:p w14:paraId="5B8316AD" w14:textId="77777777" w:rsidR="00BE3EBC" w:rsidRDefault="00BE3EBC" w:rsidP="005041F0">
            <w:pPr>
              <w:pStyle w:val="NormalHeadings"/>
              <w:jc w:val="left"/>
              <w:rPr>
                <w:szCs w:val="24"/>
              </w:rPr>
            </w:pPr>
          </w:p>
          <w:p w14:paraId="47A2A4E4" w14:textId="77777777" w:rsidR="00BE3EBC" w:rsidRDefault="00BE3EBC" w:rsidP="00BE3EBC">
            <w:pPr>
              <w:pStyle w:val="NormalHeadings"/>
              <w:jc w:val="left"/>
            </w:pPr>
            <w:r>
              <w:t>INTERNATIONAL PAINT LIMITED</w:t>
            </w:r>
          </w:p>
          <w:p w14:paraId="2282D657" w14:textId="77777777" w:rsidR="00BE3EBC" w:rsidRDefault="00BE3EBC" w:rsidP="00BE3EBC">
            <w:pPr>
              <w:pStyle w:val="PartyType"/>
            </w:pPr>
            <w:r>
              <w:t>Second Respondent</w:t>
            </w:r>
          </w:p>
          <w:p w14:paraId="22886B46" w14:textId="77777777" w:rsidR="00BE3EBC" w:rsidRDefault="00BE3EBC" w:rsidP="005041F0">
            <w:pPr>
              <w:pStyle w:val="NormalHeadings"/>
              <w:jc w:val="left"/>
              <w:rPr>
                <w:szCs w:val="24"/>
              </w:rPr>
            </w:pPr>
          </w:p>
          <w:p w14:paraId="0FED8564" w14:textId="77777777" w:rsidR="00BE3EBC" w:rsidRDefault="00BE3EBC" w:rsidP="00BE3EBC">
            <w:pPr>
              <w:pStyle w:val="NormalHeadings"/>
              <w:jc w:val="left"/>
            </w:pPr>
            <w:r>
              <w:t>AKZO NOBEL PTY LIMITED</w:t>
            </w:r>
          </w:p>
          <w:p w14:paraId="45232FD0" w14:textId="7BB1B1AB" w:rsidR="00A46CCC" w:rsidRPr="006555B4" w:rsidRDefault="00BE3EBC" w:rsidP="00BE3EBC">
            <w:pPr>
              <w:pStyle w:val="PartyType"/>
            </w:pPr>
            <w:r>
              <w:t>Third Respondent</w:t>
            </w:r>
            <w:bookmarkEnd w:id="15"/>
          </w:p>
        </w:tc>
      </w:tr>
      <w:tr w:rsidR="00BE3EBC" w14:paraId="16DB8061" w14:textId="77777777" w:rsidTr="00BE3EBC">
        <w:trPr>
          <w:trHeight w:val="300"/>
        </w:trPr>
        <w:tc>
          <w:tcPr>
            <w:tcW w:w="2376" w:type="dxa"/>
          </w:tcPr>
          <w:p w14:paraId="6396FD93" w14:textId="77777777" w:rsidR="00BE3EBC" w:rsidRDefault="00BE3EBC">
            <w:pPr>
              <w:pStyle w:val="NormalHeadings"/>
              <w:jc w:val="left"/>
              <w:rPr>
                <w:caps/>
                <w:szCs w:val="24"/>
              </w:rPr>
            </w:pPr>
            <w:bookmarkStart w:id="16" w:name="CrossClaimPosition"/>
            <w:bookmarkEnd w:id="13"/>
            <w:bookmarkEnd w:id="16"/>
          </w:p>
        </w:tc>
        <w:tc>
          <w:tcPr>
            <w:tcW w:w="6866" w:type="dxa"/>
            <w:gridSpan w:val="2"/>
          </w:tcPr>
          <w:p w14:paraId="328AEE0F" w14:textId="77777777" w:rsidR="00BE3EBC" w:rsidRDefault="00BE3EBC">
            <w:pPr>
              <w:pStyle w:val="NormalHeadings"/>
              <w:jc w:val="left"/>
              <w:rPr>
                <w:szCs w:val="24"/>
              </w:rPr>
            </w:pPr>
          </w:p>
        </w:tc>
      </w:tr>
      <w:tr w:rsidR="00BE3EBC" w14:paraId="52147FD8" w14:textId="77777777">
        <w:trPr>
          <w:trHeight w:val="386"/>
        </w:trPr>
        <w:tc>
          <w:tcPr>
            <w:tcW w:w="2376" w:type="dxa"/>
          </w:tcPr>
          <w:p w14:paraId="7DD8D549" w14:textId="77777777" w:rsidR="00BE3EBC" w:rsidRDefault="00BE3EBC">
            <w:pPr>
              <w:pStyle w:val="NormalHeadings"/>
              <w:jc w:val="left"/>
              <w:rPr>
                <w:caps/>
                <w:szCs w:val="24"/>
              </w:rPr>
            </w:pPr>
            <w:r>
              <w:rPr>
                <w:caps/>
                <w:szCs w:val="24"/>
              </w:rPr>
              <w:t>AND BETWEEN:</w:t>
            </w:r>
          </w:p>
        </w:tc>
        <w:tc>
          <w:tcPr>
            <w:tcW w:w="6866" w:type="dxa"/>
            <w:gridSpan w:val="2"/>
          </w:tcPr>
          <w:p w14:paraId="749B296D" w14:textId="1E5764CE" w:rsidR="00BE3EBC" w:rsidRDefault="00BE3EBC" w:rsidP="00BE3EBC">
            <w:pPr>
              <w:pStyle w:val="NormalHeadings"/>
              <w:jc w:val="left"/>
            </w:pPr>
            <w:bookmarkStart w:id="17" w:name="Cross_Applicant"/>
            <w:r>
              <w:t>AKZONOBEL NV</w:t>
            </w:r>
          </w:p>
          <w:p w14:paraId="011F4115" w14:textId="77777777" w:rsidR="00BE3EBC" w:rsidRDefault="00BE3EBC" w:rsidP="00BE3EBC">
            <w:pPr>
              <w:pStyle w:val="PartyType"/>
            </w:pPr>
            <w:r>
              <w:t>First Cross-Claimant</w:t>
            </w:r>
          </w:p>
          <w:p w14:paraId="6837D822" w14:textId="77777777" w:rsidR="00BE3EBC" w:rsidRDefault="00BE3EBC" w:rsidP="00BE3EBC">
            <w:pPr>
              <w:pStyle w:val="PartyType"/>
            </w:pPr>
          </w:p>
          <w:p w14:paraId="0ACCAE61" w14:textId="77777777" w:rsidR="00BE3EBC" w:rsidRPr="00C27476" w:rsidRDefault="00BE3EBC" w:rsidP="00BE3EBC">
            <w:pPr>
              <w:pStyle w:val="PartyType"/>
              <w:rPr>
                <w:b/>
              </w:rPr>
            </w:pPr>
            <w:r w:rsidRPr="00C27476">
              <w:rPr>
                <w:b/>
              </w:rPr>
              <w:t xml:space="preserve">INTERNATIONAL PAINT LIMITED </w:t>
            </w:r>
          </w:p>
          <w:p w14:paraId="694A6B72" w14:textId="77777777" w:rsidR="00BE3EBC" w:rsidRDefault="00BE3EBC" w:rsidP="00BE3EBC">
            <w:pPr>
              <w:pStyle w:val="PartyType"/>
            </w:pPr>
            <w:r>
              <w:t>Second Cross-Claimant</w:t>
            </w:r>
          </w:p>
          <w:p w14:paraId="6708D4B2" w14:textId="77777777" w:rsidR="00BE3EBC" w:rsidRDefault="00BE3EBC" w:rsidP="00BE3EBC">
            <w:pPr>
              <w:pStyle w:val="PartyType"/>
            </w:pPr>
          </w:p>
          <w:p w14:paraId="58D49A29" w14:textId="77777777" w:rsidR="00BE3EBC" w:rsidRPr="00C27476" w:rsidRDefault="00BE3EBC" w:rsidP="00BE3EBC">
            <w:pPr>
              <w:pStyle w:val="PartyType"/>
              <w:rPr>
                <w:b/>
              </w:rPr>
            </w:pPr>
            <w:r w:rsidRPr="00C27476">
              <w:rPr>
                <w:b/>
              </w:rPr>
              <w:t>AKZO NOBEL PTY LIMITED</w:t>
            </w:r>
          </w:p>
          <w:p w14:paraId="027CF1C6" w14:textId="1FED5B14" w:rsidR="00BE3EBC" w:rsidRDefault="00BE3EBC" w:rsidP="00BE3EBC">
            <w:pPr>
              <w:pStyle w:val="PartyType"/>
            </w:pPr>
            <w:r>
              <w:t>Third Cross-Claimant</w:t>
            </w:r>
          </w:p>
          <w:bookmarkEnd w:id="17"/>
          <w:p w14:paraId="027B5FBD" w14:textId="7F913806" w:rsidR="00BE3EBC" w:rsidRDefault="00BE3EBC">
            <w:pPr>
              <w:pStyle w:val="NormalHeadings"/>
              <w:jc w:val="left"/>
              <w:rPr>
                <w:szCs w:val="24"/>
              </w:rPr>
            </w:pPr>
          </w:p>
        </w:tc>
      </w:tr>
      <w:tr w:rsidR="00BE3EBC" w14:paraId="120BE071" w14:textId="77777777">
        <w:trPr>
          <w:trHeight w:val="386"/>
        </w:trPr>
        <w:tc>
          <w:tcPr>
            <w:tcW w:w="2376" w:type="dxa"/>
          </w:tcPr>
          <w:p w14:paraId="7779656C" w14:textId="77777777" w:rsidR="00BE3EBC" w:rsidRDefault="00BE3EBC">
            <w:pPr>
              <w:pStyle w:val="NormalHeadings"/>
              <w:jc w:val="left"/>
              <w:rPr>
                <w:caps/>
                <w:szCs w:val="24"/>
              </w:rPr>
            </w:pPr>
            <w:r>
              <w:rPr>
                <w:caps/>
                <w:szCs w:val="24"/>
              </w:rPr>
              <w:t>AND:</w:t>
            </w:r>
          </w:p>
        </w:tc>
        <w:tc>
          <w:tcPr>
            <w:tcW w:w="6866" w:type="dxa"/>
            <w:gridSpan w:val="2"/>
          </w:tcPr>
          <w:p w14:paraId="2C4DC035" w14:textId="6FCBCEC7" w:rsidR="00BE3EBC" w:rsidRDefault="00BE3EBC" w:rsidP="00BE3EBC">
            <w:pPr>
              <w:pStyle w:val="NormalHeadings"/>
              <w:jc w:val="left"/>
            </w:pPr>
            <w:bookmarkStart w:id="18" w:name="Cross_Respondent"/>
            <w:r>
              <w:t>INPEX OPERATIONS AUSTRALIA PTY LTD</w:t>
            </w:r>
          </w:p>
          <w:p w14:paraId="75F0DBE2" w14:textId="77777777" w:rsidR="00BE3EBC" w:rsidRDefault="00BE3EBC" w:rsidP="00BE3EBC">
            <w:pPr>
              <w:pStyle w:val="PartyType"/>
            </w:pPr>
            <w:r>
              <w:t>First Cross-Respondent</w:t>
            </w:r>
          </w:p>
          <w:p w14:paraId="4176EA07" w14:textId="77777777" w:rsidR="00BE3EBC" w:rsidRDefault="00BE3EBC" w:rsidP="00BE3EBC">
            <w:pPr>
              <w:pStyle w:val="PartyType"/>
            </w:pPr>
          </w:p>
          <w:p w14:paraId="2845387E" w14:textId="77777777" w:rsidR="00BE3EBC" w:rsidRPr="005E087A" w:rsidRDefault="00BE3EBC" w:rsidP="00BE3EBC">
            <w:pPr>
              <w:pStyle w:val="PartyType"/>
              <w:rPr>
                <w:b/>
              </w:rPr>
            </w:pPr>
            <w:r w:rsidRPr="005E087A">
              <w:rPr>
                <w:b/>
              </w:rPr>
              <w:t>ICHTHYS LNG PTY LTD</w:t>
            </w:r>
          </w:p>
          <w:p w14:paraId="02950528" w14:textId="77777777" w:rsidR="00BE3EBC" w:rsidRDefault="00BE3EBC" w:rsidP="00BE3EBC">
            <w:pPr>
              <w:pStyle w:val="PartyType"/>
            </w:pPr>
            <w:r>
              <w:t>Second Cross-Respondent</w:t>
            </w:r>
          </w:p>
          <w:p w14:paraId="29F378AB" w14:textId="77777777" w:rsidR="00BE3EBC" w:rsidRDefault="00BE3EBC" w:rsidP="00BE3EBC">
            <w:pPr>
              <w:pStyle w:val="PartyType"/>
            </w:pPr>
          </w:p>
          <w:p w14:paraId="7C69073F" w14:textId="77777777" w:rsidR="00BE3EBC" w:rsidRPr="005E087A" w:rsidRDefault="00BE3EBC" w:rsidP="00BE3EBC">
            <w:pPr>
              <w:pStyle w:val="PartyType"/>
              <w:rPr>
                <w:b/>
              </w:rPr>
            </w:pPr>
            <w:r w:rsidRPr="005E087A">
              <w:rPr>
                <w:b/>
              </w:rPr>
              <w:t>JKC AUSTRALIA LNG PTY LTD</w:t>
            </w:r>
          </w:p>
          <w:p w14:paraId="0734DCEB" w14:textId="41D4FFD6" w:rsidR="00BE3EBC" w:rsidRDefault="00BE3EBC" w:rsidP="00BE3EBC">
            <w:pPr>
              <w:pStyle w:val="PartyType"/>
            </w:pPr>
            <w:r>
              <w:t>Third Cross-Respondent</w:t>
            </w:r>
            <w:bookmarkEnd w:id="18"/>
          </w:p>
        </w:tc>
      </w:tr>
    </w:tbl>
    <w:p w14:paraId="557E80D9" w14:textId="77777777" w:rsidR="00395B24" w:rsidRDefault="00395B2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14:paraId="26C20595" w14:textId="77777777">
        <w:tc>
          <w:tcPr>
            <w:tcW w:w="2376" w:type="dxa"/>
          </w:tcPr>
          <w:p w14:paraId="7121EF74"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3DEC2130" w14:textId="3924E8A1" w:rsidR="00395B24" w:rsidRDefault="00BE3EBC">
            <w:pPr>
              <w:pStyle w:val="NormalHeadings"/>
              <w:jc w:val="left"/>
              <w:rPr>
                <w:caps/>
                <w:szCs w:val="24"/>
              </w:rPr>
            </w:pPr>
            <w:bookmarkStart w:id="20" w:name="Judge"/>
            <w:r>
              <w:rPr>
                <w:caps/>
                <w:szCs w:val="24"/>
              </w:rPr>
              <w:t>BANKS-SMITH J</w:t>
            </w:r>
            <w:bookmarkEnd w:id="20"/>
          </w:p>
        </w:tc>
      </w:tr>
      <w:tr w:rsidR="00395B24" w14:paraId="5E3895C3" w14:textId="77777777">
        <w:tc>
          <w:tcPr>
            <w:tcW w:w="2376" w:type="dxa"/>
          </w:tcPr>
          <w:p w14:paraId="7C5CE21E" w14:textId="77777777" w:rsidR="00395B24" w:rsidRDefault="002C7385">
            <w:pPr>
              <w:pStyle w:val="NormalHeadings"/>
              <w:spacing w:after="120"/>
              <w:jc w:val="left"/>
              <w:rPr>
                <w:caps/>
                <w:szCs w:val="24"/>
              </w:rPr>
            </w:pPr>
            <w:r>
              <w:rPr>
                <w:caps/>
                <w:szCs w:val="24"/>
              </w:rPr>
              <w:t>DATE OF ORDER:</w:t>
            </w:r>
          </w:p>
        </w:tc>
        <w:tc>
          <w:tcPr>
            <w:tcW w:w="6866" w:type="dxa"/>
          </w:tcPr>
          <w:p w14:paraId="125B938F" w14:textId="657E1AF7" w:rsidR="00395B24" w:rsidRDefault="00265D3B">
            <w:pPr>
              <w:pStyle w:val="NormalHeadings"/>
              <w:jc w:val="left"/>
              <w:rPr>
                <w:caps/>
                <w:szCs w:val="24"/>
              </w:rPr>
            </w:pPr>
            <w:bookmarkStart w:id="21" w:name="Judgment_Dated"/>
            <w:r>
              <w:rPr>
                <w:caps/>
                <w:szCs w:val="24"/>
              </w:rPr>
              <w:t>7 april</w:t>
            </w:r>
            <w:r w:rsidR="00BE3EBC">
              <w:rPr>
                <w:caps/>
                <w:szCs w:val="24"/>
              </w:rPr>
              <w:t xml:space="preserve"> 202</w:t>
            </w:r>
            <w:r w:rsidR="00993D00">
              <w:rPr>
                <w:caps/>
                <w:szCs w:val="24"/>
              </w:rPr>
              <w:t>5</w:t>
            </w:r>
            <w:bookmarkEnd w:id="21"/>
          </w:p>
        </w:tc>
      </w:tr>
    </w:tbl>
    <w:p w14:paraId="3BD63840" w14:textId="77777777" w:rsidR="00395B24" w:rsidRDefault="00395B24">
      <w:pPr>
        <w:pStyle w:val="NormalHeadings"/>
        <w:rPr>
          <w:b w:val="0"/>
        </w:rPr>
      </w:pPr>
    </w:p>
    <w:p w14:paraId="2438C3FF" w14:textId="77777777" w:rsidR="008D1617" w:rsidRDefault="008D1617">
      <w:pPr>
        <w:pStyle w:val="NormalHeadings"/>
        <w:rPr>
          <w:b w:val="0"/>
        </w:rPr>
      </w:pPr>
    </w:p>
    <w:p w14:paraId="30C3D1D3" w14:textId="77777777" w:rsidR="00395B24" w:rsidRDefault="002C7385">
      <w:pPr>
        <w:pStyle w:val="NormalHeadings"/>
      </w:pPr>
      <w:r>
        <w:t>THE COURT ORDERS THAT:</w:t>
      </w:r>
    </w:p>
    <w:p w14:paraId="63554A5E" w14:textId="77777777" w:rsidR="007F60DF" w:rsidRDefault="007F60DF" w:rsidP="00243E5E">
      <w:pPr>
        <w:pStyle w:val="NormalHeadings"/>
      </w:pPr>
    </w:p>
    <w:p w14:paraId="5A12D343" w14:textId="047DA481" w:rsidR="001A6C52" w:rsidRDefault="0086271C" w:rsidP="001A6C52">
      <w:pPr>
        <w:pStyle w:val="Order1"/>
      </w:pPr>
      <w:r>
        <w:t xml:space="preserve">Within seven business days the </w:t>
      </w:r>
      <w:r w:rsidR="00D77A8C">
        <w:t>respondent</w:t>
      </w:r>
      <w:r w:rsidR="00377104">
        <w:t>s</w:t>
      </w:r>
      <w:r>
        <w:t xml:space="preserve"> produce to the </w:t>
      </w:r>
      <w:r w:rsidR="00D77A8C">
        <w:t>applicants</w:t>
      </w:r>
      <w:r>
        <w:t xml:space="preserve"> </w:t>
      </w:r>
      <w:r w:rsidR="00D77A8C">
        <w:t xml:space="preserve">a complete unredacted version of the document identified in the </w:t>
      </w:r>
      <w:r w:rsidR="001156C6">
        <w:t>interlocutory</w:t>
      </w:r>
      <w:r w:rsidR="00D77A8C">
        <w:t xml:space="preserve"> application date</w:t>
      </w:r>
      <w:r w:rsidR="001156C6">
        <w:t>d</w:t>
      </w:r>
      <w:r w:rsidR="00D77A8C">
        <w:t xml:space="preserve"> </w:t>
      </w:r>
      <w:r w:rsidR="001156C6">
        <w:t>20</w:t>
      </w:r>
      <w:r w:rsidR="00D80ADE">
        <w:t> </w:t>
      </w:r>
      <w:r w:rsidR="001156C6">
        <w:t xml:space="preserve">December 2024 as </w:t>
      </w:r>
      <w:r w:rsidR="00D77A8C">
        <w:t>CTRL_01679149_RH.</w:t>
      </w:r>
    </w:p>
    <w:p w14:paraId="2370B020" w14:textId="0AEB285A" w:rsidR="00D77A8C" w:rsidRDefault="00D77A8C" w:rsidP="001A6C52">
      <w:pPr>
        <w:pStyle w:val="Order1"/>
      </w:pPr>
      <w:r>
        <w:t xml:space="preserve">The </w:t>
      </w:r>
      <w:r w:rsidR="001156C6">
        <w:t>application</w:t>
      </w:r>
      <w:r>
        <w:t xml:space="preserve"> is otherwise dismissed.</w:t>
      </w:r>
    </w:p>
    <w:p w14:paraId="5D31E98B" w14:textId="0F9F9F29" w:rsidR="001156C6" w:rsidRDefault="001156C6" w:rsidP="001A6C52">
      <w:pPr>
        <w:pStyle w:val="Order1"/>
      </w:pPr>
      <w:r>
        <w:lastRenderedPageBreak/>
        <w:t>Costs reserved.</w:t>
      </w:r>
    </w:p>
    <w:p w14:paraId="1F3F8663" w14:textId="77777777" w:rsidR="001A6C52" w:rsidRDefault="001A6C52" w:rsidP="001A6C52">
      <w:pPr>
        <w:pStyle w:val="BodyText"/>
      </w:pPr>
    </w:p>
    <w:p w14:paraId="5933E378" w14:textId="77777777" w:rsidR="00D80ADE" w:rsidRDefault="00D80ADE" w:rsidP="001A6C52">
      <w:pPr>
        <w:pStyle w:val="BodyText"/>
      </w:pPr>
    </w:p>
    <w:p w14:paraId="4098F519" w14:textId="77777777" w:rsidR="00D80ADE" w:rsidRDefault="00D80ADE" w:rsidP="001A6C52">
      <w:pPr>
        <w:pStyle w:val="BodyText"/>
      </w:pPr>
    </w:p>
    <w:p w14:paraId="63133DA8" w14:textId="77777777" w:rsidR="00A431E6" w:rsidRDefault="00A431E6" w:rsidP="001A6C52">
      <w:pPr>
        <w:pStyle w:val="BodyText"/>
      </w:pPr>
    </w:p>
    <w:p w14:paraId="58BE99A3" w14:textId="03BA1D9D" w:rsidR="00B710F2" w:rsidRDefault="00BE3EBC" w:rsidP="00BE3EBC">
      <w:pPr>
        <w:pStyle w:val="SingleSpace"/>
      </w:pPr>
      <w:bookmarkStart w:id="22" w:name="OrdersStatement"/>
      <w:r>
        <w:t>Note:</w:t>
      </w:r>
      <w:r>
        <w:tab/>
        <w:t xml:space="preserve">Entry of orders is dealt with in Rule 39.32 of the </w:t>
      </w:r>
      <w:r>
        <w:rPr>
          <w:i/>
        </w:rPr>
        <w:t>Federal Court Rules 2011</w:t>
      </w:r>
      <w:r>
        <w:t>.</w:t>
      </w:r>
      <w:bookmarkEnd w:id="22"/>
    </w:p>
    <w:p w14:paraId="2318DC95" w14:textId="77777777" w:rsidR="00395B24" w:rsidRDefault="00395B24">
      <w:pPr>
        <w:pStyle w:val="NormalHeadings"/>
        <w:spacing w:before="240" w:after="120"/>
        <w:rPr>
          <w:b w:val="0"/>
        </w:rPr>
        <w:sectPr w:rsidR="00395B24" w:rsidSect="00E77422">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0BD2F5DB"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372E8F1A" w14:textId="7326AE57" w:rsidR="00694BEB" w:rsidRDefault="00BE3EBC" w:rsidP="005E0510">
      <w:pPr>
        <w:pStyle w:val="NormalHeadings"/>
        <w:spacing w:line="360" w:lineRule="auto"/>
        <w:jc w:val="left"/>
        <w:rPr>
          <w:sz w:val="26"/>
          <w:szCs w:val="26"/>
        </w:rPr>
      </w:pPr>
      <w:r>
        <w:rPr>
          <w:sz w:val="26"/>
          <w:szCs w:val="26"/>
        </w:rPr>
        <w:t>BANKS-SMITH J:</w:t>
      </w:r>
    </w:p>
    <w:p w14:paraId="1034A94C" w14:textId="1E4D972E" w:rsidR="00CD1346" w:rsidRDefault="0070136E" w:rsidP="00CD1346">
      <w:pPr>
        <w:pStyle w:val="ParaNumbering"/>
      </w:pPr>
      <w:r>
        <w:t xml:space="preserve">In </w:t>
      </w:r>
      <w:r w:rsidRPr="00022951">
        <w:rPr>
          <w:i/>
          <w:iCs/>
        </w:rPr>
        <w:t xml:space="preserve">INPEX Operations Australia Pty Ltd v </w:t>
      </w:r>
      <w:r w:rsidR="002915E7" w:rsidRPr="00022951">
        <w:rPr>
          <w:i/>
          <w:iCs/>
        </w:rPr>
        <w:t>AkzoNobel</w:t>
      </w:r>
      <w:r w:rsidRPr="00022951">
        <w:rPr>
          <w:i/>
          <w:iCs/>
        </w:rPr>
        <w:t xml:space="preserve"> NV (No 3)</w:t>
      </w:r>
      <w:r w:rsidRPr="00022951">
        <w:t xml:space="preserve"> [2024] FCA 1221</w:t>
      </w:r>
      <w:r w:rsidR="000A5441">
        <w:t xml:space="preserve"> (</w:t>
      </w:r>
      <w:r w:rsidR="000A5441" w:rsidRPr="000A5441">
        <w:rPr>
          <w:b/>
          <w:bCs/>
          <w:i/>
          <w:iCs/>
        </w:rPr>
        <w:t>I</w:t>
      </w:r>
      <w:r w:rsidR="00B86A35">
        <w:rPr>
          <w:b/>
          <w:bCs/>
          <w:i/>
          <w:iCs/>
        </w:rPr>
        <w:t>NPEX</w:t>
      </w:r>
      <w:r w:rsidR="00093C29">
        <w:rPr>
          <w:b/>
          <w:bCs/>
          <w:i/>
          <w:iCs/>
        </w:rPr>
        <w:t> </w:t>
      </w:r>
      <w:r w:rsidR="00F57935">
        <w:rPr>
          <w:b/>
          <w:bCs/>
          <w:i/>
          <w:iCs/>
        </w:rPr>
        <w:t>(</w:t>
      </w:r>
      <w:r w:rsidR="000A5441" w:rsidRPr="000A5441">
        <w:rPr>
          <w:b/>
          <w:bCs/>
          <w:i/>
          <w:iCs/>
        </w:rPr>
        <w:t>No</w:t>
      </w:r>
      <w:r w:rsidR="00093C29">
        <w:rPr>
          <w:b/>
          <w:bCs/>
          <w:i/>
          <w:iCs/>
        </w:rPr>
        <w:t> </w:t>
      </w:r>
      <w:r w:rsidR="000A5441" w:rsidRPr="000A5441">
        <w:rPr>
          <w:b/>
          <w:bCs/>
          <w:i/>
          <w:iCs/>
        </w:rPr>
        <w:t>3</w:t>
      </w:r>
      <w:r w:rsidR="000A5441" w:rsidRPr="00093C29">
        <w:rPr>
          <w:b/>
          <w:bCs/>
          <w:i/>
          <w:iCs/>
        </w:rPr>
        <w:t>)</w:t>
      </w:r>
      <w:r w:rsidR="00F57935">
        <w:t>)</w:t>
      </w:r>
      <w:r>
        <w:t xml:space="preserve">, </w:t>
      </w:r>
      <w:r w:rsidR="002915E7">
        <w:t xml:space="preserve">I </w:t>
      </w:r>
      <w:r w:rsidR="003D22EF">
        <w:t xml:space="preserve">permitted cross-examination to proceed during trial of the </w:t>
      </w:r>
      <w:r w:rsidR="002A5BCF">
        <w:t xml:space="preserve">deponents of affidavits relating to the discovery regime </w:t>
      </w:r>
      <w:r w:rsidR="008E4506">
        <w:t>utilised</w:t>
      </w:r>
      <w:r w:rsidR="002A5BCF">
        <w:t xml:space="preserve"> by</w:t>
      </w:r>
      <w:r w:rsidR="00BA57C8">
        <w:t xml:space="preserve"> the respondents, </w:t>
      </w:r>
      <w:r w:rsidR="002A5BCF">
        <w:t>ANIP</w:t>
      </w:r>
      <w:r w:rsidR="00265D3B">
        <w:t xml:space="preserve">.  </w:t>
      </w:r>
      <w:r w:rsidR="000A79BC">
        <w:t xml:space="preserve">Two of those deponents were </w:t>
      </w:r>
      <w:r w:rsidR="001B3548">
        <w:t>Mr </w:t>
      </w:r>
      <w:r w:rsidR="000A79BC">
        <w:t>Tim</w:t>
      </w:r>
      <w:r w:rsidR="00EA2E31">
        <w:t>othy</w:t>
      </w:r>
      <w:r w:rsidR="000A79BC">
        <w:t xml:space="preserve"> Donisi, a part</w:t>
      </w:r>
      <w:r w:rsidR="00D72B71">
        <w:t>ner</w:t>
      </w:r>
      <w:r w:rsidR="000A79BC">
        <w:t xml:space="preserve"> of Clayton Utz, and </w:t>
      </w:r>
      <w:r w:rsidR="00232F19">
        <w:t>Ms </w:t>
      </w:r>
      <w:r w:rsidR="00D72B71">
        <w:t xml:space="preserve">Marni Lancaster, </w:t>
      </w:r>
      <w:r w:rsidR="00516647">
        <w:t xml:space="preserve">a </w:t>
      </w:r>
      <w:r w:rsidR="00BA57C8">
        <w:t>lawyer</w:t>
      </w:r>
      <w:r w:rsidR="00516647">
        <w:t xml:space="preserve"> and </w:t>
      </w:r>
      <w:r w:rsidR="00D72B71">
        <w:t xml:space="preserve">the </w:t>
      </w:r>
      <w:r w:rsidR="00D72B71" w:rsidRPr="00854D1C">
        <w:rPr>
          <w:color w:val="000000"/>
          <w:szCs w:val="24"/>
          <w:shd w:val="clear" w:color="auto" w:fill="FFFFFF"/>
        </w:rPr>
        <w:t>Director Litigation of the AkzoNobel NV group of companies</w:t>
      </w:r>
      <w:r w:rsidR="00D72B71">
        <w:rPr>
          <w:color w:val="000000"/>
          <w:szCs w:val="24"/>
          <w:shd w:val="clear" w:color="auto" w:fill="FFFFFF"/>
        </w:rPr>
        <w:t>.</w:t>
      </w:r>
    </w:p>
    <w:p w14:paraId="576DA586" w14:textId="5734F582" w:rsidR="00250E8D" w:rsidRDefault="009D29AC" w:rsidP="00CD1346">
      <w:pPr>
        <w:pStyle w:val="ParaNumbering"/>
      </w:pPr>
      <w:r>
        <w:t xml:space="preserve">The </w:t>
      </w:r>
      <w:r w:rsidRPr="00B9518C">
        <w:rPr>
          <w:b/>
          <w:bCs/>
        </w:rPr>
        <w:t xml:space="preserve">cross-examination </w:t>
      </w:r>
      <w:r w:rsidR="00B9518C" w:rsidRPr="00B9518C">
        <w:rPr>
          <w:b/>
          <w:bCs/>
        </w:rPr>
        <w:t>hearing</w:t>
      </w:r>
      <w:r w:rsidR="00B9518C">
        <w:t xml:space="preserve"> </w:t>
      </w:r>
      <w:r>
        <w:t>proceeded</w:t>
      </w:r>
      <w:r w:rsidR="00D770A8">
        <w:t xml:space="preserve"> </w:t>
      </w:r>
      <w:r w:rsidR="00322CA8">
        <w:t>on</w:t>
      </w:r>
      <w:r w:rsidR="00D770A8">
        <w:t xml:space="preserve"> </w:t>
      </w:r>
      <w:r w:rsidR="0042203E">
        <w:t>30 October 2024</w:t>
      </w:r>
      <w:r w:rsidR="00265D3B">
        <w:t xml:space="preserve">.  </w:t>
      </w:r>
      <w:r w:rsidR="007F3127">
        <w:t xml:space="preserve">During </w:t>
      </w:r>
      <w:r w:rsidR="00DB5C13">
        <w:t>cross-examination</w:t>
      </w:r>
      <w:r w:rsidR="007F3127">
        <w:t>,</w:t>
      </w:r>
      <w:r>
        <w:t xml:space="preserve"> </w:t>
      </w:r>
      <w:r w:rsidR="00894A79">
        <w:t xml:space="preserve">senior counsel </w:t>
      </w:r>
      <w:r w:rsidR="007F3127">
        <w:t>for INPEX made calls for the production of various documents</w:t>
      </w:r>
      <w:r w:rsidR="001B3548">
        <w:t>.</w:t>
      </w:r>
    </w:p>
    <w:p w14:paraId="16D2EF1F" w14:textId="021BC43E" w:rsidR="00D770A8" w:rsidRDefault="00DB28BA" w:rsidP="00CD1346">
      <w:pPr>
        <w:pStyle w:val="ParaNumbering"/>
      </w:pPr>
      <w:r>
        <w:t xml:space="preserve">The </w:t>
      </w:r>
      <w:r w:rsidR="009B57C7">
        <w:t>trial</w:t>
      </w:r>
      <w:r>
        <w:t xml:space="preserve"> currently stands </w:t>
      </w:r>
      <w:r w:rsidR="005D330C">
        <w:t>part-heard</w:t>
      </w:r>
      <w:r w:rsidR="009B57C7">
        <w:t>, with a further week set aside in May 2025</w:t>
      </w:r>
      <w:r w:rsidR="00250E8D">
        <w:t>.</w:t>
      </w:r>
    </w:p>
    <w:p w14:paraId="617328D1" w14:textId="6785E9CE" w:rsidR="00EE5B83" w:rsidRDefault="00621641" w:rsidP="00CD1346">
      <w:pPr>
        <w:pStyle w:val="ParaNumbering"/>
      </w:pPr>
      <w:r>
        <w:t>After the c</w:t>
      </w:r>
      <w:r w:rsidR="006C2DF0">
        <w:t>ross</w:t>
      </w:r>
      <w:r>
        <w:t>-</w:t>
      </w:r>
      <w:r w:rsidR="006C2DF0">
        <w:t>examination hearing</w:t>
      </w:r>
      <w:r>
        <w:t xml:space="preserve">, </w:t>
      </w:r>
      <w:r w:rsidR="009B57C7">
        <w:t xml:space="preserve">the </w:t>
      </w:r>
      <w:r w:rsidR="009751A0">
        <w:t>solicitors for INPEX (Corrs</w:t>
      </w:r>
      <w:r w:rsidR="00236D1F">
        <w:t xml:space="preserve"> Chambers Westgarth</w:t>
      </w:r>
      <w:r w:rsidR="009751A0">
        <w:t>) and ANIP (Clayton Utz)</w:t>
      </w:r>
      <w:r w:rsidR="009B57C7">
        <w:t xml:space="preserve"> </w:t>
      </w:r>
      <w:r w:rsidR="006C2DF0">
        <w:t xml:space="preserve">exchanged correspondence </w:t>
      </w:r>
      <w:r w:rsidR="009B57C7">
        <w:t>about the</w:t>
      </w:r>
      <w:r w:rsidR="00B03979">
        <w:t xml:space="preserve"> calls for production</w:t>
      </w:r>
      <w:r w:rsidR="001B3548">
        <w:t>.</w:t>
      </w:r>
    </w:p>
    <w:p w14:paraId="536DCDFA" w14:textId="2AE8CEE8" w:rsidR="00B03979" w:rsidRDefault="00363CC5" w:rsidP="00234BD2">
      <w:pPr>
        <w:pStyle w:val="ParaNumbering"/>
      </w:pPr>
      <w:r>
        <w:t xml:space="preserve">In response, </w:t>
      </w:r>
      <w:r w:rsidR="00174F1B">
        <w:t>ANIP produce</w:t>
      </w:r>
      <w:r w:rsidR="00EE5B83">
        <w:t>d</w:t>
      </w:r>
      <w:r w:rsidR="00174F1B">
        <w:t xml:space="preserve"> certain </w:t>
      </w:r>
      <w:r w:rsidR="006025E5">
        <w:t>documents</w:t>
      </w:r>
      <w:r w:rsidR="00174F1B">
        <w:t xml:space="preserve"> </w:t>
      </w:r>
      <w:r w:rsidR="007A0231">
        <w:t>with redactions</w:t>
      </w:r>
      <w:r w:rsidR="00174F1B">
        <w:t xml:space="preserve">, asserting that </w:t>
      </w:r>
      <w:r w:rsidR="008B68E2">
        <w:t xml:space="preserve">the </w:t>
      </w:r>
      <w:r w:rsidR="00174F1B">
        <w:t xml:space="preserve">redacted parts </w:t>
      </w:r>
      <w:r w:rsidR="00EE5B83">
        <w:t>(referred to by the parties as</w:t>
      </w:r>
      <w:r>
        <w:t xml:space="preserve"> the</w:t>
      </w:r>
      <w:r w:rsidR="00EE5B83">
        <w:t xml:space="preserve"> </w:t>
      </w:r>
      <w:r w:rsidR="00EE5B83" w:rsidRPr="00EE5B83">
        <w:rPr>
          <w:b/>
          <w:bCs/>
        </w:rPr>
        <w:t>Embedded Comments</w:t>
      </w:r>
      <w:r w:rsidR="00EE5B83">
        <w:t xml:space="preserve">) </w:t>
      </w:r>
      <w:r w:rsidR="006025E5">
        <w:t>contain</w:t>
      </w:r>
      <w:r w:rsidR="00174F1B">
        <w:t xml:space="preserve"> information that is </w:t>
      </w:r>
      <w:r w:rsidR="00A22873">
        <w:t xml:space="preserve">immune from production on the basis of </w:t>
      </w:r>
      <w:r w:rsidR="006025E5">
        <w:t>legal professional privilege</w:t>
      </w:r>
      <w:r w:rsidR="00265D3B">
        <w:t xml:space="preserve">.  </w:t>
      </w:r>
      <w:r w:rsidR="00EE5B83">
        <w:t xml:space="preserve">ANIP </w:t>
      </w:r>
      <w:r w:rsidR="002673A2">
        <w:t>also</w:t>
      </w:r>
      <w:r w:rsidR="00EE5B83">
        <w:t xml:space="preserve"> declined to permit inspection of communication</w:t>
      </w:r>
      <w:r w:rsidR="00A92E6D">
        <w:t>s</w:t>
      </w:r>
      <w:r w:rsidR="00EE5B83">
        <w:t xml:space="preserve"> involving </w:t>
      </w:r>
      <w:r w:rsidR="00232F19">
        <w:t>Ms </w:t>
      </w:r>
      <w:r w:rsidR="00EE5B83">
        <w:t>Lancaster</w:t>
      </w:r>
      <w:r w:rsidR="00F37FE0">
        <w:t xml:space="preserve"> (</w:t>
      </w:r>
      <w:r w:rsidR="008203BC" w:rsidRPr="008203BC">
        <w:rPr>
          <w:b/>
          <w:bCs/>
        </w:rPr>
        <w:t>Lancaster Communications</w:t>
      </w:r>
      <w:r w:rsidR="008203BC">
        <w:t>)</w:t>
      </w:r>
      <w:r w:rsidR="00EE5B83">
        <w:t xml:space="preserve">, again </w:t>
      </w:r>
      <w:r w:rsidR="002673A2">
        <w:t xml:space="preserve">asserting </w:t>
      </w:r>
      <w:r w:rsidR="00EE5B83">
        <w:t xml:space="preserve">they </w:t>
      </w:r>
      <w:r w:rsidR="000B37C1">
        <w:t xml:space="preserve">were </w:t>
      </w:r>
      <w:r w:rsidR="008F0F45">
        <w:t>privilege</w:t>
      </w:r>
      <w:r w:rsidR="002673A2">
        <w:t>d</w:t>
      </w:r>
      <w:r w:rsidR="00265D3B">
        <w:t xml:space="preserve">.  </w:t>
      </w:r>
      <w:r w:rsidR="008B68E2">
        <w:t>INPEX asserts that</w:t>
      </w:r>
      <w:r w:rsidR="00580E31">
        <w:t xml:space="preserve"> </w:t>
      </w:r>
      <w:r w:rsidR="00983229">
        <w:t xml:space="preserve">any </w:t>
      </w:r>
      <w:r w:rsidR="008F0F45">
        <w:t>privilege</w:t>
      </w:r>
      <w:r w:rsidR="00580E31">
        <w:t xml:space="preserve"> has been waived.</w:t>
      </w:r>
    </w:p>
    <w:p w14:paraId="37E5F488" w14:textId="69254589" w:rsidR="001E1289" w:rsidRDefault="00B03979" w:rsidP="00CD1346">
      <w:pPr>
        <w:pStyle w:val="ParaNumbering"/>
      </w:pPr>
      <w:r>
        <w:t>I</w:t>
      </w:r>
      <w:r w:rsidR="005F31D8">
        <w:t xml:space="preserve">n order to resolve </w:t>
      </w:r>
      <w:r w:rsidR="006D06FD">
        <w:t>this issue</w:t>
      </w:r>
      <w:r w:rsidR="005F31D8">
        <w:t>, I</w:t>
      </w:r>
      <w:r>
        <w:t xml:space="preserve">NPEX filed an interlocutory </w:t>
      </w:r>
      <w:r w:rsidR="00580E31">
        <w:t>application</w:t>
      </w:r>
      <w:r w:rsidR="00470E10">
        <w:t xml:space="preserve"> on </w:t>
      </w:r>
      <w:r w:rsidR="001E1289">
        <w:t>20 December 2024</w:t>
      </w:r>
      <w:r>
        <w:t xml:space="preserve"> seeking</w:t>
      </w:r>
      <w:r w:rsidR="00580E31">
        <w:t xml:space="preserve"> production of a list of particular unredacted</w:t>
      </w:r>
      <w:r>
        <w:t xml:space="preserve"> </w:t>
      </w:r>
      <w:r w:rsidR="00580E31">
        <w:t>documents</w:t>
      </w:r>
      <w:r w:rsidR="001B3548">
        <w:t>.</w:t>
      </w:r>
    </w:p>
    <w:p w14:paraId="5DCCCDED" w14:textId="5503B50D" w:rsidR="00EE4210" w:rsidRDefault="00E77C2D" w:rsidP="00CD1346">
      <w:pPr>
        <w:pStyle w:val="ParaNumbering"/>
      </w:pPr>
      <w:r>
        <w:t xml:space="preserve">The parties have asked that </w:t>
      </w:r>
      <w:r w:rsidR="005F31D8">
        <w:t xml:space="preserve">the </w:t>
      </w:r>
      <w:r w:rsidR="00101691">
        <w:t xml:space="preserve">interlocutory </w:t>
      </w:r>
      <w:r w:rsidR="005F31D8">
        <w:t>application</w:t>
      </w:r>
      <w:r>
        <w:t xml:space="preserve"> be determined on the papers</w:t>
      </w:r>
      <w:r w:rsidR="00265D3B">
        <w:t xml:space="preserve">.  </w:t>
      </w:r>
      <w:r>
        <w:t>Four sets of submission</w:t>
      </w:r>
      <w:r w:rsidR="005F31D8">
        <w:t xml:space="preserve">s </w:t>
      </w:r>
      <w:r>
        <w:t xml:space="preserve">have </w:t>
      </w:r>
      <w:r w:rsidR="00AF0DA3">
        <w:t xml:space="preserve">subsequently </w:t>
      </w:r>
      <w:r>
        <w:t>been filed</w:t>
      </w:r>
      <w:r w:rsidR="001B3548">
        <w:t>.</w:t>
      </w:r>
    </w:p>
    <w:p w14:paraId="4B4F25A4" w14:textId="30D27064" w:rsidR="004712A1" w:rsidRDefault="00983229" w:rsidP="00CD1346">
      <w:pPr>
        <w:pStyle w:val="ParaNumbering"/>
      </w:pPr>
      <w:r>
        <w:t>For the following reasons, t</w:t>
      </w:r>
      <w:r w:rsidR="004712A1">
        <w:t>he application is allowed in part.</w:t>
      </w:r>
    </w:p>
    <w:p w14:paraId="79627C91" w14:textId="64DE4F93" w:rsidR="00EE4210" w:rsidRDefault="00EE4210" w:rsidP="00EE4210">
      <w:pPr>
        <w:pStyle w:val="Heading2"/>
      </w:pPr>
      <w:r>
        <w:t xml:space="preserve">The </w:t>
      </w:r>
      <w:r w:rsidR="00C36465">
        <w:t>comments</w:t>
      </w:r>
      <w:r w:rsidR="00A26706">
        <w:t>/communications</w:t>
      </w:r>
      <w:r>
        <w:t xml:space="preserve"> the subject of </w:t>
      </w:r>
      <w:r w:rsidR="00CE7194">
        <w:t xml:space="preserve">privilege </w:t>
      </w:r>
      <w:r>
        <w:t>claims</w:t>
      </w:r>
    </w:p>
    <w:p w14:paraId="4D38E36C" w14:textId="4952FB3A" w:rsidR="00DD6CEC" w:rsidRDefault="006168C7" w:rsidP="00DD6CEC">
      <w:pPr>
        <w:pStyle w:val="ParaNumbering"/>
        <w:tabs>
          <w:tab w:val="clear" w:pos="720"/>
        </w:tabs>
      </w:pPr>
      <w:r>
        <w:t>Copies of</w:t>
      </w:r>
      <w:r w:rsidR="006B047B">
        <w:t xml:space="preserve"> two categories of documents </w:t>
      </w:r>
      <w:r>
        <w:t xml:space="preserve">are </w:t>
      </w:r>
      <w:r w:rsidR="006B047B">
        <w:t>sought</w:t>
      </w:r>
      <w:r w:rsidR="00265D3B">
        <w:t xml:space="preserve">.  </w:t>
      </w:r>
      <w:r w:rsidR="00476C00">
        <w:t xml:space="preserve">The first </w:t>
      </w:r>
      <w:r w:rsidR="00757517">
        <w:t>is</w:t>
      </w:r>
      <w:r w:rsidR="00476C00">
        <w:t xml:space="preserve"> </w:t>
      </w:r>
      <w:r w:rsidR="00E03A0B">
        <w:t>identified</w:t>
      </w:r>
      <w:r w:rsidR="00BB1157">
        <w:t xml:space="preserve"> in the submissions as </w:t>
      </w:r>
      <w:r w:rsidR="00060F1F">
        <w:t xml:space="preserve">complete </w:t>
      </w:r>
      <w:r w:rsidR="00AA32E6">
        <w:t>un</w:t>
      </w:r>
      <w:r w:rsidR="00995681">
        <w:t xml:space="preserve">redacted copies of </w:t>
      </w:r>
      <w:r w:rsidR="00AE4BFB">
        <w:t>five</w:t>
      </w:r>
      <w:r w:rsidR="00E03A0B">
        <w:t xml:space="preserve"> </w:t>
      </w:r>
      <w:r w:rsidR="00F41A4F">
        <w:t>d</w:t>
      </w:r>
      <w:r w:rsidR="00476C00" w:rsidRPr="004261F5">
        <w:t xml:space="preserve">ocument </w:t>
      </w:r>
      <w:r w:rsidR="00F41A4F">
        <w:t>h</w:t>
      </w:r>
      <w:r w:rsidR="00476C00" w:rsidRPr="004261F5">
        <w:t xml:space="preserve">istories </w:t>
      </w:r>
      <w:r w:rsidR="00F51890">
        <w:t xml:space="preserve">including </w:t>
      </w:r>
      <w:r w:rsidR="00F51890" w:rsidRPr="00EE5B83">
        <w:t xml:space="preserve">Embedded Comments </w:t>
      </w:r>
      <w:r w:rsidR="009536E4">
        <w:t xml:space="preserve">extracted </w:t>
      </w:r>
      <w:r w:rsidR="002C778F" w:rsidRPr="00EE5B83">
        <w:t>f</w:t>
      </w:r>
      <w:r w:rsidR="002C778F">
        <w:t xml:space="preserve">rom Clayton Utz's </w:t>
      </w:r>
      <w:r w:rsidR="00EE5B83">
        <w:t>'</w:t>
      </w:r>
      <w:r w:rsidR="002C778F">
        <w:t>Relativity</w:t>
      </w:r>
      <w:r w:rsidR="00EE5B83">
        <w:t>'</w:t>
      </w:r>
      <w:r w:rsidR="002C778F">
        <w:t xml:space="preserve"> database (</w:t>
      </w:r>
      <w:r w:rsidR="00F51890">
        <w:t>the</w:t>
      </w:r>
      <w:r w:rsidR="00875ECB">
        <w:t xml:space="preserve"> document </w:t>
      </w:r>
      <w:r w:rsidR="00F51890">
        <w:t xml:space="preserve">database </w:t>
      </w:r>
      <w:r w:rsidR="002C778F">
        <w:t xml:space="preserve">described in </w:t>
      </w:r>
      <w:r w:rsidR="00B86A35">
        <w:rPr>
          <w:i/>
          <w:iCs/>
        </w:rPr>
        <w:t>INPEX</w:t>
      </w:r>
      <w:r w:rsidR="00B75F53">
        <w:rPr>
          <w:i/>
          <w:iCs/>
        </w:rPr>
        <w:t> </w:t>
      </w:r>
      <w:r w:rsidR="002C778F" w:rsidRPr="00A24CCB">
        <w:rPr>
          <w:i/>
          <w:iCs/>
        </w:rPr>
        <w:t>(No</w:t>
      </w:r>
      <w:r w:rsidR="00B75F53">
        <w:rPr>
          <w:i/>
          <w:iCs/>
        </w:rPr>
        <w:t> </w:t>
      </w:r>
      <w:r w:rsidR="002C778F" w:rsidRPr="00A24CCB">
        <w:rPr>
          <w:i/>
          <w:iCs/>
        </w:rPr>
        <w:t>3)</w:t>
      </w:r>
      <w:r w:rsidR="002C778F" w:rsidRPr="002C778F">
        <w:t xml:space="preserve"> </w:t>
      </w:r>
      <w:r w:rsidR="006B115D">
        <w:t>at</w:t>
      </w:r>
      <w:r w:rsidR="00B75F53">
        <w:t> </w:t>
      </w:r>
      <w:r w:rsidR="006B115D">
        <w:t>[</w:t>
      </w:r>
      <w:r w:rsidR="00CF3EC0">
        <w:t>78</w:t>
      </w:r>
      <w:r w:rsidR="006B115D">
        <w:t>])</w:t>
      </w:r>
      <w:r w:rsidR="00265D3B">
        <w:t xml:space="preserve">.  </w:t>
      </w:r>
      <w:r w:rsidR="00AE4BFB">
        <w:t xml:space="preserve">Each of the five </w:t>
      </w:r>
      <w:r w:rsidR="00F41A4F">
        <w:t>document histories</w:t>
      </w:r>
      <w:r w:rsidR="009751A0">
        <w:t xml:space="preserve"> in redacted form</w:t>
      </w:r>
      <w:r w:rsidR="00E82FDD">
        <w:t xml:space="preserve"> </w:t>
      </w:r>
      <w:r w:rsidR="00546F7F">
        <w:t>ha</w:t>
      </w:r>
      <w:r w:rsidR="00875ECB">
        <w:t>ve</w:t>
      </w:r>
      <w:r w:rsidR="00546F7F">
        <w:t xml:space="preserve"> been</w:t>
      </w:r>
      <w:r w:rsidR="009751A0">
        <w:t xml:space="preserve"> provided by Clayt</w:t>
      </w:r>
      <w:r w:rsidR="00E03A0B">
        <w:t>o</w:t>
      </w:r>
      <w:r w:rsidR="009751A0">
        <w:t>n Utz to Corrs</w:t>
      </w:r>
      <w:r w:rsidR="008F1D48">
        <w:t xml:space="preserve"> in response to the call for production</w:t>
      </w:r>
      <w:r w:rsidR="00265D3B">
        <w:t xml:space="preserve">.  </w:t>
      </w:r>
      <w:r w:rsidR="0081750B">
        <w:t xml:space="preserve">Copies are attached </w:t>
      </w:r>
      <w:r w:rsidR="0081750B">
        <w:lastRenderedPageBreak/>
        <w:t xml:space="preserve">to an affidavit of </w:t>
      </w:r>
      <w:r w:rsidR="00232F19">
        <w:t>Ms </w:t>
      </w:r>
      <w:r w:rsidR="0081750B">
        <w:t>Kirsty Sutherland, a partner of Corrs, relied upon in support of this application</w:t>
      </w:r>
      <w:r w:rsidR="00944C97">
        <w:t xml:space="preserve">, as </w:t>
      </w:r>
      <w:r w:rsidR="00541820">
        <w:t>annexures KS</w:t>
      </w:r>
      <w:r w:rsidR="009C462D">
        <w:t>-</w:t>
      </w:r>
      <w:r w:rsidR="00541820">
        <w:t>13 to KS</w:t>
      </w:r>
      <w:r w:rsidR="009C462D">
        <w:t>-</w:t>
      </w:r>
      <w:r w:rsidR="00541820">
        <w:t>17</w:t>
      </w:r>
      <w:r w:rsidR="001B3548">
        <w:t>.</w:t>
      </w:r>
    </w:p>
    <w:p w14:paraId="5FEBDC6E" w14:textId="22795EE8" w:rsidR="00DD7F0D" w:rsidRPr="005D1024" w:rsidRDefault="001B3548" w:rsidP="005D1024">
      <w:pPr>
        <w:pStyle w:val="ParaNumbering"/>
        <w:tabs>
          <w:tab w:val="clear" w:pos="720"/>
        </w:tabs>
        <w:rPr>
          <w:i/>
          <w:iCs/>
        </w:rPr>
      </w:pPr>
      <w:r>
        <w:t>Mr </w:t>
      </w:r>
      <w:r w:rsidR="00046FF6">
        <w:t xml:space="preserve">Donisi </w:t>
      </w:r>
      <w:r w:rsidR="000A79BC">
        <w:t xml:space="preserve">provided two affidavits </w:t>
      </w:r>
      <w:r w:rsidR="00546F7F">
        <w:t>relevant to</w:t>
      </w:r>
      <w:r w:rsidR="000A79BC">
        <w:t xml:space="preserve"> the </w:t>
      </w:r>
      <w:r w:rsidR="00546F7F">
        <w:t xml:space="preserve">cross-examination </w:t>
      </w:r>
      <w:r w:rsidR="000A79BC">
        <w:t xml:space="preserve">application the subject of </w:t>
      </w:r>
      <w:r w:rsidR="00B86A35">
        <w:rPr>
          <w:i/>
          <w:iCs/>
        </w:rPr>
        <w:t>INPEX</w:t>
      </w:r>
      <w:r w:rsidR="000A79BC" w:rsidRPr="00A24CCB">
        <w:rPr>
          <w:i/>
          <w:iCs/>
        </w:rPr>
        <w:t xml:space="preserve"> (No 3)</w:t>
      </w:r>
      <w:r w:rsidR="000A79BC">
        <w:rPr>
          <w:i/>
          <w:iCs/>
        </w:rPr>
        <w:t xml:space="preserve"> </w:t>
      </w:r>
      <w:r w:rsidR="00091CCC">
        <w:t xml:space="preserve">in which he addressed </w:t>
      </w:r>
      <w:r w:rsidR="000A79BC" w:rsidRPr="000A79BC">
        <w:t>the processes implemented by Clayton Ut</w:t>
      </w:r>
      <w:r w:rsidR="00C97879">
        <w:t>z</w:t>
      </w:r>
      <w:r w:rsidR="000A79BC" w:rsidRPr="000A79BC">
        <w:t xml:space="preserve"> for discovery</w:t>
      </w:r>
      <w:r w:rsidR="00265D3B">
        <w:t xml:space="preserve">.  </w:t>
      </w:r>
      <w:r w:rsidR="004F2782">
        <w:t xml:space="preserve">They are referred to as </w:t>
      </w:r>
      <w:r w:rsidR="004F2782" w:rsidRPr="004F2782">
        <w:rPr>
          <w:b/>
          <w:bCs/>
        </w:rPr>
        <w:t>Donisi 3</w:t>
      </w:r>
      <w:r w:rsidR="004F2782">
        <w:t xml:space="preserve"> and </w:t>
      </w:r>
      <w:r w:rsidR="004F2782" w:rsidRPr="004F2782">
        <w:rPr>
          <w:b/>
          <w:bCs/>
        </w:rPr>
        <w:t>Donisi 4</w:t>
      </w:r>
      <w:r w:rsidR="00265D3B">
        <w:t xml:space="preserve">.  </w:t>
      </w:r>
      <w:r>
        <w:t>Mr </w:t>
      </w:r>
      <w:r w:rsidR="00DD7F0D">
        <w:t>Donisi's evidence</w:t>
      </w:r>
      <w:r w:rsidR="00A433D7">
        <w:t xml:space="preserve"> by way </w:t>
      </w:r>
      <w:r w:rsidR="0022012D">
        <w:t>of</w:t>
      </w:r>
      <w:r w:rsidR="00A433D7">
        <w:t xml:space="preserve"> these affidavits and </w:t>
      </w:r>
      <w:r w:rsidR="00D91E46">
        <w:t xml:space="preserve">under </w:t>
      </w:r>
      <w:r w:rsidR="0022012D">
        <w:t>cross-examination</w:t>
      </w:r>
      <w:r w:rsidR="00DD7F0D">
        <w:t xml:space="preserve"> </w:t>
      </w:r>
      <w:r w:rsidR="00A433D7">
        <w:t>forms</w:t>
      </w:r>
      <w:r w:rsidR="00DD7F0D">
        <w:t xml:space="preserve"> the basis for </w:t>
      </w:r>
      <w:r w:rsidR="0022012D">
        <w:t xml:space="preserve">INPEX's submission that </w:t>
      </w:r>
      <w:r w:rsidR="00CE7194">
        <w:t>privilege</w:t>
      </w:r>
      <w:r w:rsidR="0022012D">
        <w:t xml:space="preserve"> in the </w:t>
      </w:r>
      <w:r w:rsidR="005D1024">
        <w:t>Embedded Comments has been waived</w:t>
      </w:r>
      <w:r>
        <w:t>.</w:t>
      </w:r>
    </w:p>
    <w:p w14:paraId="6A5E7190" w14:textId="41D7B014" w:rsidR="007B5BAE" w:rsidRDefault="00834171" w:rsidP="00E82FDD">
      <w:pPr>
        <w:pStyle w:val="ParaNumbering"/>
        <w:tabs>
          <w:tab w:val="clear" w:pos="720"/>
        </w:tabs>
      </w:pPr>
      <w:r>
        <w:t xml:space="preserve">The second category </w:t>
      </w:r>
      <w:r w:rsidR="00A26706">
        <w:t xml:space="preserve">of documents sought </w:t>
      </w:r>
      <w:r w:rsidR="00757517">
        <w:t>is</w:t>
      </w:r>
      <w:r w:rsidR="00C97879">
        <w:t xml:space="preserve"> </w:t>
      </w:r>
      <w:r w:rsidR="00060F1F">
        <w:t xml:space="preserve">complete </w:t>
      </w:r>
      <w:r w:rsidR="00BD43BA">
        <w:t xml:space="preserve">unredacted versions of </w:t>
      </w:r>
      <w:r w:rsidR="00500F70">
        <w:t xml:space="preserve">the Lancaster Communications, </w:t>
      </w:r>
      <w:r w:rsidR="00757517">
        <w:t>described as</w:t>
      </w:r>
      <w:r w:rsidR="00234BAC">
        <w:t xml:space="preserve"> </w:t>
      </w:r>
      <w:r w:rsidR="00BD43BA">
        <w:t xml:space="preserve">communications passing between </w:t>
      </w:r>
      <w:r w:rsidR="00232F19">
        <w:t>Ms </w:t>
      </w:r>
      <w:r w:rsidR="00BD43BA">
        <w:t>Lancaster</w:t>
      </w:r>
      <w:r w:rsidR="00234BAC">
        <w:t xml:space="preserve"> and </w:t>
      </w:r>
      <w:r w:rsidR="00DF03CF">
        <w:t xml:space="preserve">either or both of </w:t>
      </w:r>
      <w:r w:rsidR="001B3548">
        <w:t>Mr </w:t>
      </w:r>
      <w:r w:rsidR="00234BAC">
        <w:t xml:space="preserve">Gutierrez and </w:t>
      </w:r>
      <w:r w:rsidR="001B3548">
        <w:t>Mr </w:t>
      </w:r>
      <w:r w:rsidR="00234BAC">
        <w:t>Wa</w:t>
      </w:r>
      <w:r w:rsidR="00DF03CF">
        <w:t xml:space="preserve">jahat Syed, </w:t>
      </w:r>
      <w:r w:rsidR="006B2E73">
        <w:t xml:space="preserve">comprising source documents and their </w:t>
      </w:r>
      <w:r w:rsidR="004F2782">
        <w:t>attachments</w:t>
      </w:r>
      <w:r w:rsidR="001B3548">
        <w:t>.</w:t>
      </w:r>
    </w:p>
    <w:p w14:paraId="28D428E3" w14:textId="0B826944" w:rsidR="00834171" w:rsidRDefault="00232F19" w:rsidP="00E82FDD">
      <w:pPr>
        <w:pStyle w:val="ParaNumbering"/>
        <w:tabs>
          <w:tab w:val="clear" w:pos="720"/>
        </w:tabs>
      </w:pPr>
      <w:r>
        <w:t>Ms </w:t>
      </w:r>
      <w:r w:rsidR="005D1024">
        <w:t>La</w:t>
      </w:r>
      <w:r w:rsidR="00526B85">
        <w:t xml:space="preserve">ncaster provided affidavit </w:t>
      </w:r>
      <w:r w:rsidR="00D91E46">
        <w:t>evidence,</w:t>
      </w:r>
      <w:r w:rsidR="00526B85">
        <w:t xml:space="preserve"> </w:t>
      </w:r>
      <w:r w:rsidR="00D91E46">
        <w:t>discussed</w:t>
      </w:r>
      <w:r w:rsidR="00526B85">
        <w:t xml:space="preserve"> below</w:t>
      </w:r>
      <w:r w:rsidR="00265D3B">
        <w:t xml:space="preserve">.  </w:t>
      </w:r>
      <w:r w:rsidR="00D91E46">
        <w:t>Her</w:t>
      </w:r>
      <w:r w:rsidR="00526B85">
        <w:t xml:space="preserve"> </w:t>
      </w:r>
      <w:r w:rsidR="00D91E46">
        <w:t>evidence by way of the</w:t>
      </w:r>
      <w:r w:rsidR="005401D1">
        <w:t>se</w:t>
      </w:r>
      <w:r w:rsidR="00D91E46">
        <w:t xml:space="preserve"> </w:t>
      </w:r>
      <w:r w:rsidR="00526B85">
        <w:t>affidavit</w:t>
      </w:r>
      <w:r w:rsidR="00D91E46">
        <w:t>s</w:t>
      </w:r>
      <w:r w:rsidR="00526B85">
        <w:t xml:space="preserve"> </w:t>
      </w:r>
      <w:r w:rsidR="00D91E46">
        <w:t xml:space="preserve">and under cross-examination </w:t>
      </w:r>
      <w:r w:rsidR="004C7724">
        <w:t>forms the basis for INPEX's submission that</w:t>
      </w:r>
      <w:r w:rsidR="00CE7194">
        <w:t xml:space="preserve"> privilege</w:t>
      </w:r>
      <w:r w:rsidR="004C7724">
        <w:t xml:space="preserve"> in the </w:t>
      </w:r>
      <w:r w:rsidR="00397F3A">
        <w:t>Lancaster Communications</w:t>
      </w:r>
      <w:r w:rsidR="005401D1">
        <w:t xml:space="preserve"> </w:t>
      </w:r>
      <w:r w:rsidR="004C7724">
        <w:t>has been waived</w:t>
      </w:r>
      <w:r w:rsidR="005401D1">
        <w:t>.</w:t>
      </w:r>
    </w:p>
    <w:p w14:paraId="541C42C7" w14:textId="106031F5" w:rsidR="00D945B5" w:rsidRDefault="00815788" w:rsidP="009A79CD">
      <w:pPr>
        <w:pStyle w:val="Heading2"/>
      </w:pPr>
      <w:r>
        <w:t>Principles</w:t>
      </w:r>
    </w:p>
    <w:p w14:paraId="234FE5AF" w14:textId="315675F9" w:rsidR="0003604E" w:rsidRDefault="007D4B97" w:rsidP="00580FF0">
      <w:pPr>
        <w:pStyle w:val="ParaNumbering"/>
      </w:pPr>
      <w:r>
        <w:t>INPEX's application proceed</w:t>
      </w:r>
      <w:r w:rsidR="00057676">
        <w:t>s</w:t>
      </w:r>
      <w:r>
        <w:t xml:space="preserve"> on the assumption that</w:t>
      </w:r>
      <w:r w:rsidR="00057676">
        <w:t xml:space="preserve"> </w:t>
      </w:r>
      <w:r>
        <w:t xml:space="preserve">the Embedded Comments and the Lancaster </w:t>
      </w:r>
      <w:r w:rsidR="005A17B0">
        <w:t>Communications</w:t>
      </w:r>
      <w:r>
        <w:t xml:space="preserve"> </w:t>
      </w:r>
      <w:r w:rsidR="00274197">
        <w:t>are</w:t>
      </w:r>
      <w:r w:rsidR="00934957">
        <w:t xml:space="preserve"> otherwise</w:t>
      </w:r>
      <w:r w:rsidR="00057676">
        <w:t xml:space="preserve"> immune from production on the basis of </w:t>
      </w:r>
      <w:r w:rsidR="00A1793E">
        <w:t>privilege</w:t>
      </w:r>
      <w:r w:rsidR="00265D3B">
        <w:t>.</w:t>
      </w:r>
    </w:p>
    <w:p w14:paraId="7418C0A6" w14:textId="5C3AE0AE" w:rsidR="001703F5" w:rsidRDefault="0003604E" w:rsidP="00A73A10">
      <w:pPr>
        <w:pStyle w:val="ParaNumbering"/>
      </w:pPr>
      <w:r>
        <w:t>The parties agreed that D</w:t>
      </w:r>
      <w:r w:rsidR="00C134D2">
        <w:t>iv</w:t>
      </w:r>
      <w:r w:rsidR="00D30802">
        <w:t>ision</w:t>
      </w:r>
      <w:r>
        <w:t xml:space="preserve"> 1 of Part 3.10 (</w:t>
      </w:r>
      <w:r w:rsidR="00C134D2">
        <w:t>Privileges</w:t>
      </w:r>
      <w:r>
        <w:t xml:space="preserve">) of the </w:t>
      </w:r>
      <w:r w:rsidRPr="00C134D2">
        <w:rPr>
          <w:i/>
          <w:iCs/>
        </w:rPr>
        <w:t>Evidence Act</w:t>
      </w:r>
      <w:r w:rsidR="00B75F53">
        <w:rPr>
          <w:i/>
          <w:iCs/>
        </w:rPr>
        <w:t xml:space="preserve"> </w:t>
      </w:r>
      <w:r w:rsidR="00B75F53" w:rsidRPr="00022951">
        <w:rPr>
          <w:i/>
          <w:iCs/>
          <w:szCs w:val="24"/>
        </w:rPr>
        <w:t>1995</w:t>
      </w:r>
      <w:r w:rsidR="00B75F53" w:rsidRPr="00022951">
        <w:rPr>
          <w:szCs w:val="24"/>
        </w:rPr>
        <w:t xml:space="preserve"> (</w:t>
      </w:r>
      <w:proofErr w:type="spellStart"/>
      <w:r w:rsidR="00B75F53" w:rsidRPr="00022951">
        <w:rPr>
          <w:szCs w:val="24"/>
        </w:rPr>
        <w:t>Cth</w:t>
      </w:r>
      <w:proofErr w:type="spellEnd"/>
      <w:r w:rsidR="00B75F53">
        <w:rPr>
          <w:szCs w:val="24"/>
        </w:rPr>
        <w:t>)</w:t>
      </w:r>
      <w:r>
        <w:t xml:space="preserve"> applies</w:t>
      </w:r>
      <w:r w:rsidR="00265D3B">
        <w:t xml:space="preserve">.  </w:t>
      </w:r>
      <w:r w:rsidR="008C0651">
        <w:t>To paraphrase, s</w:t>
      </w:r>
      <w:r w:rsidR="00B75F53">
        <w:t> </w:t>
      </w:r>
      <w:r w:rsidR="00F12E82">
        <w:t>118 and</w:t>
      </w:r>
      <w:r w:rsidR="008C0651">
        <w:t xml:space="preserve"> </w:t>
      </w:r>
      <w:r w:rsidR="00B75F53">
        <w:t>s </w:t>
      </w:r>
      <w:r w:rsidR="00F12E82">
        <w:t xml:space="preserve">119 </w:t>
      </w:r>
      <w:r w:rsidR="00595822">
        <w:t xml:space="preserve">provide that </w:t>
      </w:r>
      <w:r w:rsidR="00B467DF">
        <w:t xml:space="preserve">evidence is not to be adduced of </w:t>
      </w:r>
      <w:r w:rsidR="008C0651">
        <w:t>communications</w:t>
      </w:r>
      <w:r w:rsidR="00B467DF">
        <w:t xml:space="preserve"> the subject of legal advice </w:t>
      </w:r>
      <w:r w:rsidR="008C0651">
        <w:t>privilege</w:t>
      </w:r>
      <w:r w:rsidR="00B467DF">
        <w:t xml:space="preserve"> or </w:t>
      </w:r>
      <w:r w:rsidR="008C0651">
        <w:t>litigation</w:t>
      </w:r>
      <w:r w:rsidR="00B467DF">
        <w:t xml:space="preserve"> </w:t>
      </w:r>
      <w:r w:rsidR="008C0651">
        <w:t>privilege</w:t>
      </w:r>
      <w:r w:rsidR="00B467DF">
        <w:t xml:space="preserve"> </w:t>
      </w:r>
      <w:r w:rsidR="008C0651">
        <w:t>respectively</w:t>
      </w:r>
      <w:r w:rsidR="00265D3B">
        <w:t>.</w:t>
      </w:r>
    </w:p>
    <w:p w14:paraId="79D7C03D" w14:textId="56C7B195" w:rsidR="006912CA" w:rsidRPr="00580FF0" w:rsidRDefault="00AC6028" w:rsidP="00580FF0">
      <w:pPr>
        <w:pStyle w:val="ParaNumbering"/>
      </w:pPr>
      <w:r>
        <w:t>Section 122</w:t>
      </w:r>
      <w:r w:rsidR="004329FE">
        <w:t>(2)</w:t>
      </w:r>
      <w:r>
        <w:t xml:space="preserve"> </w:t>
      </w:r>
      <w:r w:rsidR="008A0DB2">
        <w:t>deals with waiver</w:t>
      </w:r>
      <w:r w:rsidR="00265D3B">
        <w:t xml:space="preserve">.  </w:t>
      </w:r>
      <w:r w:rsidR="008A0DB2">
        <w:t xml:space="preserve">It </w:t>
      </w:r>
      <w:r w:rsidR="004329FE">
        <w:t>permits</w:t>
      </w:r>
      <w:r>
        <w:t xml:space="preserve"> the adducing</w:t>
      </w:r>
      <w:r w:rsidR="001703F5">
        <w:t xml:space="preserve"> </w:t>
      </w:r>
      <w:r>
        <w:t xml:space="preserve">of evidence which </w:t>
      </w:r>
      <w:r w:rsidR="006A49F1">
        <w:t>is</w:t>
      </w:r>
      <w:r>
        <w:t xml:space="preserve"> </w:t>
      </w:r>
      <w:r w:rsidR="006A49F1">
        <w:t xml:space="preserve">privileged </w:t>
      </w:r>
      <w:r w:rsidR="00100F6B">
        <w:t>where a party has acted in a way that is inconsistent with the maintenance of the privilege</w:t>
      </w:r>
      <w:r w:rsidR="00265D3B">
        <w:t>.</w:t>
      </w:r>
    </w:p>
    <w:p w14:paraId="536BA97F" w14:textId="3153C154" w:rsidR="00E87C8A" w:rsidRDefault="00E87C8A" w:rsidP="00B75F53">
      <w:pPr>
        <w:pStyle w:val="ParaNumbering"/>
      </w:pPr>
      <w:r>
        <w:t xml:space="preserve">Section 122(3) of the </w:t>
      </w:r>
      <w:r w:rsidRPr="00C04625">
        <w:rPr>
          <w:i/>
          <w:iCs/>
        </w:rPr>
        <w:t>Evidence Act</w:t>
      </w:r>
      <w:r>
        <w:t xml:space="preserve"> </w:t>
      </w:r>
      <w:r w:rsidR="008A0DB2">
        <w:t>provides that</w:t>
      </w:r>
      <w:r w:rsidR="00513976">
        <w:t>:</w:t>
      </w:r>
    </w:p>
    <w:p w14:paraId="64524720" w14:textId="77777777" w:rsidR="00E87C8A" w:rsidRDefault="00E87C8A" w:rsidP="004F7B5F">
      <w:pPr>
        <w:pStyle w:val="Quote1"/>
      </w:pPr>
      <w:r>
        <w:t>Without limiting subsection (2), a client or party is taken to have so acted if:</w:t>
      </w:r>
    </w:p>
    <w:p w14:paraId="59202CE5" w14:textId="4EE9CBB0" w:rsidR="004F7B5F" w:rsidRDefault="00E87C8A" w:rsidP="004B35B0">
      <w:pPr>
        <w:pStyle w:val="Quote1"/>
        <w:ind w:left="1440" w:hanging="703"/>
      </w:pPr>
      <w:r>
        <w:t>(a)</w:t>
      </w:r>
      <w:r w:rsidR="004B35B0">
        <w:tab/>
      </w:r>
      <w:r>
        <w:t>the client or party knowingly and voluntarily disclosed the substance of the evidence to another person; or</w:t>
      </w:r>
    </w:p>
    <w:p w14:paraId="5AB76F8C" w14:textId="1C716C47" w:rsidR="00815788" w:rsidRDefault="00E87C8A" w:rsidP="00E53D0A">
      <w:pPr>
        <w:pStyle w:val="Quote1"/>
        <w:spacing w:after="360"/>
        <w:ind w:left="1440" w:hanging="703"/>
      </w:pPr>
      <w:r>
        <w:t>(b)</w:t>
      </w:r>
      <w:r w:rsidR="004B35B0">
        <w:tab/>
      </w:r>
      <w:r>
        <w:t>the substance of the evidence has been disclosed with the express or implied consent of the client or party.</w:t>
      </w:r>
    </w:p>
    <w:p w14:paraId="42102D14" w14:textId="44D9AB3B" w:rsidR="00BB77E8" w:rsidRDefault="00BB77E8" w:rsidP="00BB77E8">
      <w:pPr>
        <w:pStyle w:val="ParaNumbering"/>
      </w:pPr>
      <w:r>
        <w:lastRenderedPageBreak/>
        <w:t>Both INPEX and ANIP proceeded on the basis that common law principles as to waiver continue to be relevant:</w:t>
      </w:r>
      <w:r w:rsidRPr="00723D81">
        <w:t xml:space="preserve">  </w:t>
      </w:r>
      <w:r w:rsidRPr="00723D81">
        <w:rPr>
          <w:i/>
          <w:iCs/>
        </w:rPr>
        <w:t xml:space="preserve">Expense Reduction </w:t>
      </w:r>
      <w:r w:rsidRPr="00A73A10">
        <w:rPr>
          <w:i/>
          <w:iCs/>
        </w:rPr>
        <w:t>Analysts Group Pty Ltd v Armstrong Strategic Management and Marketing Pty Ltd</w:t>
      </w:r>
      <w:r w:rsidRPr="00022951">
        <w:t xml:space="preserve"> [2013] HCA 46; (2013) 250 CLR 303</w:t>
      </w:r>
      <w:r>
        <w:t xml:space="preserve"> at [32].</w:t>
      </w:r>
    </w:p>
    <w:p w14:paraId="3B9BE82D" w14:textId="429D1A3B" w:rsidR="00C746C4" w:rsidRPr="00880996" w:rsidRDefault="002300E2" w:rsidP="00051BBA">
      <w:pPr>
        <w:pStyle w:val="ParaNumbering"/>
        <w:rPr>
          <w:lang w:eastAsia="en-AU"/>
        </w:rPr>
      </w:pPr>
      <w:r w:rsidRPr="00880996">
        <w:t xml:space="preserve">The principles are usefully summarised by Griffiths J in </w:t>
      </w:r>
      <w:r w:rsidRPr="00022951">
        <w:rPr>
          <w:i/>
          <w:iCs/>
        </w:rPr>
        <w:t>College of Law Limited v Australian National University</w:t>
      </w:r>
      <w:r w:rsidRPr="00022951">
        <w:t xml:space="preserve"> [2013] FCA 492</w:t>
      </w:r>
      <w:r w:rsidRPr="00880996">
        <w:t xml:space="preserve"> at [24]</w:t>
      </w:r>
      <w:r w:rsidR="00096A8D">
        <w:t xml:space="preserve"> and it is not necessary to set them out in any detail</w:t>
      </w:r>
      <w:r w:rsidR="00265D3B">
        <w:t xml:space="preserve">.  </w:t>
      </w:r>
      <w:r w:rsidR="00096A8D">
        <w:t xml:space="preserve">The </w:t>
      </w:r>
      <w:r w:rsidR="0089022C" w:rsidRPr="00880996">
        <w:rPr>
          <w:lang w:eastAsia="en-AU"/>
        </w:rPr>
        <w:t xml:space="preserve">parties were </w:t>
      </w:r>
      <w:r w:rsidR="002F0B5E" w:rsidRPr="00880996">
        <w:rPr>
          <w:lang w:eastAsia="en-AU"/>
        </w:rPr>
        <w:t>generally</w:t>
      </w:r>
      <w:r w:rsidR="0089022C" w:rsidRPr="00880996">
        <w:rPr>
          <w:lang w:eastAsia="en-AU"/>
        </w:rPr>
        <w:t xml:space="preserve"> agreed as to the principles</w:t>
      </w:r>
      <w:r w:rsidR="002F0B5E" w:rsidRPr="00880996">
        <w:rPr>
          <w:lang w:eastAsia="en-AU"/>
        </w:rPr>
        <w:t xml:space="preserve"> relating to implied waiver</w:t>
      </w:r>
      <w:r w:rsidR="006F4603" w:rsidRPr="00880996">
        <w:rPr>
          <w:lang w:eastAsia="en-AU"/>
        </w:rPr>
        <w:t xml:space="preserve">, and the focus </w:t>
      </w:r>
      <w:r w:rsidR="003338EA" w:rsidRPr="00880996">
        <w:rPr>
          <w:lang w:eastAsia="en-AU"/>
        </w:rPr>
        <w:t>on</w:t>
      </w:r>
      <w:r w:rsidR="006F4603" w:rsidRPr="00880996">
        <w:rPr>
          <w:lang w:eastAsia="en-AU"/>
        </w:rPr>
        <w:t xml:space="preserve"> inconsi</w:t>
      </w:r>
      <w:r w:rsidR="003338EA" w:rsidRPr="00880996">
        <w:rPr>
          <w:lang w:eastAsia="en-AU"/>
        </w:rPr>
        <w:t>s</w:t>
      </w:r>
      <w:r w:rsidR="006F4603" w:rsidRPr="00880996">
        <w:rPr>
          <w:lang w:eastAsia="en-AU"/>
        </w:rPr>
        <w:t>tency</w:t>
      </w:r>
      <w:r w:rsidR="004E7B96" w:rsidRPr="00880996">
        <w:rPr>
          <w:lang w:eastAsia="en-AU"/>
        </w:rPr>
        <w:t xml:space="preserve"> of conduct</w:t>
      </w:r>
      <w:r w:rsidR="00265D3B">
        <w:rPr>
          <w:lang w:eastAsia="en-AU"/>
        </w:rPr>
        <w:t xml:space="preserve">.  </w:t>
      </w:r>
      <w:r w:rsidR="002F0B5E" w:rsidRPr="00880996">
        <w:rPr>
          <w:lang w:eastAsia="en-AU"/>
        </w:rPr>
        <w:t>As</w:t>
      </w:r>
      <w:r w:rsidR="005B5480">
        <w:rPr>
          <w:lang w:eastAsia="en-AU"/>
        </w:rPr>
        <w:t xml:space="preserve"> </w:t>
      </w:r>
      <w:r w:rsidR="00BA1199" w:rsidRPr="00880996">
        <w:rPr>
          <w:lang w:eastAsia="en-AU"/>
        </w:rPr>
        <w:t>described</w:t>
      </w:r>
      <w:r w:rsidR="00C746C4" w:rsidRPr="00880996">
        <w:rPr>
          <w:lang w:eastAsia="en-AU"/>
        </w:rPr>
        <w:t xml:space="preserve"> in</w:t>
      </w:r>
      <w:r w:rsidR="00880996">
        <w:rPr>
          <w:lang w:eastAsia="en-AU"/>
        </w:rPr>
        <w:t xml:space="preserve"> </w:t>
      </w:r>
      <w:r w:rsidR="00880996" w:rsidRPr="00022951">
        <w:rPr>
          <w:b/>
          <w:bCs/>
          <w:i/>
          <w:iCs/>
          <w:lang w:eastAsia="en-AU"/>
        </w:rPr>
        <w:t>Mann v Carnell</w:t>
      </w:r>
      <w:r w:rsidR="00C746C4" w:rsidRPr="00022951">
        <w:rPr>
          <w:lang w:eastAsia="en-AU"/>
        </w:rPr>
        <w:t xml:space="preserve"> </w:t>
      </w:r>
      <w:r w:rsidR="00402DED" w:rsidRPr="00022951">
        <w:rPr>
          <w:lang w:eastAsia="en-AU"/>
        </w:rPr>
        <w:t>[1999] HCA 66; (1999) 201 CLR 1</w:t>
      </w:r>
      <w:r w:rsidR="00402DED" w:rsidRPr="00402DED">
        <w:rPr>
          <w:lang w:eastAsia="en-AU"/>
        </w:rPr>
        <w:t xml:space="preserve"> </w:t>
      </w:r>
      <w:r w:rsidR="00C746C4" w:rsidRPr="00880996">
        <w:rPr>
          <w:lang w:eastAsia="en-AU"/>
        </w:rPr>
        <w:t xml:space="preserve">(Gleeson CJ, </w:t>
      </w:r>
      <w:proofErr w:type="spellStart"/>
      <w:r w:rsidR="00C746C4" w:rsidRPr="00880996">
        <w:rPr>
          <w:lang w:eastAsia="en-AU"/>
        </w:rPr>
        <w:t>Gaudron</w:t>
      </w:r>
      <w:proofErr w:type="spellEnd"/>
      <w:r w:rsidR="00C746C4" w:rsidRPr="00880996">
        <w:rPr>
          <w:lang w:eastAsia="en-AU"/>
        </w:rPr>
        <w:t>, Gummow and Callinan JJ)</w:t>
      </w:r>
      <w:r w:rsidR="00B46C13">
        <w:rPr>
          <w:lang w:eastAsia="en-AU"/>
        </w:rPr>
        <w:t xml:space="preserve"> </w:t>
      </w:r>
      <w:r w:rsidR="00B46C13" w:rsidRPr="00880996">
        <w:rPr>
          <w:lang w:eastAsia="en-AU"/>
        </w:rPr>
        <w:t>at [29]</w:t>
      </w:r>
      <w:r w:rsidR="00C746C4" w:rsidRPr="00880996">
        <w:rPr>
          <w:lang w:eastAsia="en-AU"/>
        </w:rPr>
        <w:t>:</w:t>
      </w:r>
    </w:p>
    <w:p w14:paraId="075EA48B" w14:textId="2DC98BF3" w:rsidR="00402DED" w:rsidRPr="00C746C4" w:rsidRDefault="00402DED" w:rsidP="0080303D">
      <w:pPr>
        <w:pStyle w:val="Quote1"/>
        <w:spacing w:after="360"/>
        <w:rPr>
          <w:lang w:eastAsia="en-AU"/>
        </w:rPr>
      </w:pPr>
      <w:r>
        <w:rPr>
          <w:lang w:eastAsia="en-AU"/>
        </w:rPr>
        <w:t xml:space="preserve">… </w:t>
      </w:r>
      <w:r w:rsidR="00C746C4" w:rsidRPr="00C746C4">
        <w:rPr>
          <w:lang w:eastAsia="en-AU"/>
        </w:rPr>
        <w:t>Disputes as to implied waiver usually arise from the need to decide whether particular conduct is inconsistent with the maintenance of the confidentiality which the privilege is intended to protect</w:t>
      </w:r>
      <w:r w:rsidR="00265D3B">
        <w:rPr>
          <w:lang w:eastAsia="en-AU"/>
        </w:rPr>
        <w:t xml:space="preserve">.  </w:t>
      </w:r>
      <w:r w:rsidR="00C746C4" w:rsidRPr="00C746C4">
        <w:rPr>
          <w:lang w:eastAsia="en-AU"/>
        </w:rPr>
        <w:t xml:space="preserve">When an affirmative answer is given to such a question, it is sometimes said that waiver is </w:t>
      </w:r>
      <w:r>
        <w:rPr>
          <w:lang w:eastAsia="en-AU"/>
        </w:rPr>
        <w:t>'</w:t>
      </w:r>
      <w:r w:rsidR="00C746C4" w:rsidRPr="00C746C4">
        <w:rPr>
          <w:lang w:eastAsia="en-AU"/>
        </w:rPr>
        <w:t>imputed by operation of law</w:t>
      </w:r>
      <w:r>
        <w:rPr>
          <w:lang w:eastAsia="en-AU"/>
        </w:rPr>
        <w:t>'</w:t>
      </w:r>
      <w:r w:rsidR="00265D3B">
        <w:rPr>
          <w:lang w:eastAsia="en-AU"/>
        </w:rPr>
        <w:t xml:space="preserve">.  </w:t>
      </w:r>
      <w:r w:rsidR="00C746C4" w:rsidRPr="00C746C4">
        <w:rPr>
          <w:lang w:eastAsia="en-AU"/>
        </w:rPr>
        <w:t>This means that the law recognises the inconsistency and determines its consequences, even though such consequences may not reflect the subjective intention of the party who has lost the privilege</w:t>
      </w:r>
      <w:r w:rsidR="00265D3B">
        <w:rPr>
          <w:lang w:eastAsia="en-AU"/>
        </w:rPr>
        <w:t xml:space="preserve">.  </w:t>
      </w:r>
      <w:r w:rsidR="00C746C4" w:rsidRPr="00C746C4">
        <w:rPr>
          <w:lang w:eastAsia="en-AU"/>
        </w:rPr>
        <w:t>… What brings about the waiver is the inconsistency, which the courts, where necessary informed by considerations of fairness, perceive, between the conduct of the client and maintenance of the confidentiality; not some overriding principle of fairness operating at large.</w:t>
      </w:r>
    </w:p>
    <w:p w14:paraId="490EAAAE" w14:textId="1523EE39" w:rsidR="007A3587" w:rsidRPr="007A3587" w:rsidRDefault="007A3587" w:rsidP="00051BBA">
      <w:pPr>
        <w:pStyle w:val="ParaNumbering"/>
      </w:pPr>
      <w:r w:rsidRPr="007A3587">
        <w:t xml:space="preserve">In </w:t>
      </w:r>
      <w:r w:rsidRPr="00022951">
        <w:rPr>
          <w:i/>
          <w:iCs/>
        </w:rPr>
        <w:t xml:space="preserve">GR Capital Group Pty Ltd v </w:t>
      </w:r>
      <w:proofErr w:type="spellStart"/>
      <w:r w:rsidRPr="00022951">
        <w:rPr>
          <w:i/>
          <w:iCs/>
        </w:rPr>
        <w:t>Xinfeng</w:t>
      </w:r>
      <w:proofErr w:type="spellEnd"/>
      <w:r w:rsidRPr="00022951">
        <w:rPr>
          <w:i/>
          <w:iCs/>
        </w:rPr>
        <w:t xml:space="preserve"> Australia International Investment Pty Ltd </w:t>
      </w:r>
      <w:r w:rsidRPr="00022951">
        <w:t>[2020] NSWCA 266</w:t>
      </w:r>
      <w:r w:rsidRPr="007A3587">
        <w:t>, Macfarlan JA (McCallum JA and Simpson AJA agreeing)</w:t>
      </w:r>
      <w:r>
        <w:t xml:space="preserve"> </w:t>
      </w:r>
      <w:r w:rsidRPr="007A3587">
        <w:t>relevantly s</w:t>
      </w:r>
      <w:r>
        <w:t>aid</w:t>
      </w:r>
      <w:r w:rsidRPr="007A3587">
        <w:t xml:space="preserve"> at [57]</w:t>
      </w:r>
      <w:r w:rsidR="001B3548">
        <w:t>:</w:t>
      </w:r>
    </w:p>
    <w:p w14:paraId="52B6B98A" w14:textId="38276C51" w:rsidR="007A3587" w:rsidRPr="007A3587" w:rsidRDefault="007A3587" w:rsidP="00C92FB0">
      <w:pPr>
        <w:pStyle w:val="Quote1"/>
        <w:spacing w:after="360"/>
      </w:pPr>
      <w:r w:rsidRPr="007A3587">
        <w:t xml:space="preserve">Enquiring whether the privilege holder has made express or implied assertions about the contents of the confidential communications, and whether its conduct has therefore </w:t>
      </w:r>
      <w:r w:rsidR="00955A8B">
        <w:t>'</w:t>
      </w:r>
      <w:r w:rsidRPr="007A3587">
        <w:t>laid open the communications to scrutiny</w:t>
      </w:r>
      <w:r w:rsidR="00955A8B">
        <w:t>'</w:t>
      </w:r>
      <w:r w:rsidRPr="007A3587">
        <w:t>, assists in ensuring that the court's focus is on inconsistency rather than simply relevance</w:t>
      </w:r>
      <w:r w:rsidR="00265D3B">
        <w:t xml:space="preserve">.  </w:t>
      </w:r>
      <w:r w:rsidRPr="007A3587">
        <w:t>If the privilege holder is understood to be asserting something about the contents of the communications, it is but a short step to conclude that it would be inconsistent for it to prevent those contents being scrutinised</w:t>
      </w:r>
      <w:r w:rsidR="001B3548">
        <w:t>.</w:t>
      </w:r>
    </w:p>
    <w:p w14:paraId="3627399A" w14:textId="6334AF9B" w:rsidR="009500B4" w:rsidRDefault="00851279" w:rsidP="00A15C1D">
      <w:pPr>
        <w:pStyle w:val="ParaNumbering"/>
        <w:rPr>
          <w:lang w:eastAsia="en-AU"/>
        </w:rPr>
      </w:pPr>
      <w:r>
        <w:t xml:space="preserve">Other useful authorities referred to by the parties include </w:t>
      </w:r>
      <w:r w:rsidR="009500B4" w:rsidRPr="00022951">
        <w:rPr>
          <w:i/>
          <w:iCs/>
          <w:lang w:eastAsia="en-AU"/>
        </w:rPr>
        <w:t xml:space="preserve">Federal Treasury Enterprise (FKP) </w:t>
      </w:r>
      <w:proofErr w:type="spellStart"/>
      <w:r w:rsidR="009500B4" w:rsidRPr="00022951">
        <w:rPr>
          <w:i/>
          <w:iCs/>
          <w:lang w:eastAsia="en-AU"/>
        </w:rPr>
        <w:t>Sojuzplodoimport</w:t>
      </w:r>
      <w:proofErr w:type="spellEnd"/>
      <w:r w:rsidR="009500B4" w:rsidRPr="00022951">
        <w:rPr>
          <w:i/>
          <w:iCs/>
          <w:lang w:eastAsia="en-AU"/>
        </w:rPr>
        <w:t xml:space="preserve"> v Spirits International B.V</w:t>
      </w:r>
      <w:r w:rsidR="00265D3B">
        <w:rPr>
          <w:i/>
          <w:iCs/>
          <w:lang w:eastAsia="en-AU"/>
        </w:rPr>
        <w:t xml:space="preserve">. </w:t>
      </w:r>
      <w:r w:rsidR="009500B4" w:rsidRPr="00022951">
        <w:rPr>
          <w:i/>
          <w:iCs/>
          <w:lang w:eastAsia="en-AU"/>
        </w:rPr>
        <w:t>(No 6)</w:t>
      </w:r>
      <w:r w:rsidR="009500B4" w:rsidRPr="00022951">
        <w:rPr>
          <w:lang w:eastAsia="en-AU"/>
        </w:rPr>
        <w:t xml:space="preserve"> [2019] FCA 337</w:t>
      </w:r>
      <w:r w:rsidR="00B46C13">
        <w:rPr>
          <w:lang w:eastAsia="en-AU"/>
        </w:rPr>
        <w:t xml:space="preserve"> </w:t>
      </w:r>
      <w:r w:rsidR="009500B4" w:rsidRPr="009500B4">
        <w:rPr>
          <w:lang w:eastAsia="en-AU"/>
        </w:rPr>
        <w:t>at [25]</w:t>
      </w:r>
      <w:r>
        <w:rPr>
          <w:lang w:eastAsia="en-AU"/>
        </w:rPr>
        <w:t xml:space="preserve"> (</w:t>
      </w:r>
      <w:r w:rsidR="006876C3">
        <w:rPr>
          <w:lang w:eastAsia="en-AU"/>
        </w:rPr>
        <w:t xml:space="preserve">partial disclosure); and </w:t>
      </w:r>
      <w:r w:rsidR="003016F7" w:rsidRPr="00817865">
        <w:rPr>
          <w:i/>
          <w:iCs/>
          <w:lang w:eastAsia="en-AU"/>
        </w:rPr>
        <w:t>Lactalis Jindi Pty Ltd v Jindi Cheese Pty Ltd</w:t>
      </w:r>
      <w:r w:rsidR="003016F7" w:rsidRPr="00817865">
        <w:rPr>
          <w:lang w:eastAsia="en-AU"/>
        </w:rPr>
        <w:t xml:space="preserve"> [2</w:t>
      </w:r>
      <w:r w:rsidR="00714467" w:rsidRPr="00817865">
        <w:rPr>
          <w:lang w:eastAsia="en-AU"/>
        </w:rPr>
        <w:t>0</w:t>
      </w:r>
      <w:r w:rsidR="003016F7" w:rsidRPr="00817865">
        <w:rPr>
          <w:lang w:eastAsia="en-AU"/>
        </w:rPr>
        <w:t>13] VSC 475</w:t>
      </w:r>
      <w:r w:rsidR="003016F7">
        <w:rPr>
          <w:lang w:eastAsia="en-AU"/>
        </w:rPr>
        <w:t xml:space="preserve"> at [40] (</w:t>
      </w:r>
      <w:r w:rsidR="00714467">
        <w:rPr>
          <w:lang w:eastAsia="en-AU"/>
        </w:rPr>
        <w:t>whether disclosure is sufficient to warrant loss of privilege)</w:t>
      </w:r>
      <w:r w:rsidR="00265D3B">
        <w:rPr>
          <w:lang w:eastAsia="en-AU"/>
        </w:rPr>
        <w:t>.</w:t>
      </w:r>
    </w:p>
    <w:p w14:paraId="648EEAF4" w14:textId="6460689D" w:rsidR="003B406B" w:rsidRDefault="000E2A55" w:rsidP="00B94211">
      <w:pPr>
        <w:pStyle w:val="Heading2"/>
      </w:pPr>
      <w:r>
        <w:t xml:space="preserve">First category - </w:t>
      </w:r>
      <w:r w:rsidR="006B279C">
        <w:t>Embedded Comments</w:t>
      </w:r>
    </w:p>
    <w:p w14:paraId="42543582" w14:textId="45D88189" w:rsidR="009E214D" w:rsidRDefault="009E214D" w:rsidP="00413959">
      <w:pPr>
        <w:pStyle w:val="Heading3"/>
      </w:pPr>
      <w:r>
        <w:t>Privilege claim</w:t>
      </w:r>
    </w:p>
    <w:p w14:paraId="6AFC42EB" w14:textId="083E10F1" w:rsidR="00102A33" w:rsidRDefault="00634E4D" w:rsidP="008B5886">
      <w:pPr>
        <w:pStyle w:val="ParaNumbering"/>
        <w:spacing w:after="360"/>
      </w:pPr>
      <w:r>
        <w:t xml:space="preserve">Clayton Utz described the </w:t>
      </w:r>
      <w:r w:rsidR="00911783">
        <w:t>b</w:t>
      </w:r>
      <w:r>
        <w:t>asis of ANIP's claim to privilege</w:t>
      </w:r>
      <w:r w:rsidR="00911783">
        <w:t xml:space="preserve"> over the Embedded Comments</w:t>
      </w:r>
      <w:r>
        <w:t xml:space="preserve"> as follows</w:t>
      </w:r>
      <w:r w:rsidR="001B3548">
        <w:t>:</w:t>
      </w:r>
    </w:p>
    <w:p w14:paraId="264DAF5B" w14:textId="177F3B2C" w:rsidR="009E214D" w:rsidRPr="009E214D" w:rsidRDefault="00102A33" w:rsidP="00695B64">
      <w:pPr>
        <w:pStyle w:val="Quote1"/>
        <w:spacing w:after="360"/>
      </w:pPr>
      <w:r w:rsidRPr="00102A33">
        <w:lastRenderedPageBreak/>
        <w:t>The comments embedded within the document history logs as part of the legal review of the documents re</w:t>
      </w:r>
      <w:r w:rsidRPr="0090206E">
        <w:t>main subject to a claim for legal professional privilege</w:t>
      </w:r>
      <w:r w:rsidR="00265D3B">
        <w:t xml:space="preserve">.  </w:t>
      </w:r>
      <w:r w:rsidRPr="0090206E">
        <w:t>The basis for the claim is that the comments disclose consideration of documents prepared in the course of both litigation and the provision of legal advice</w:t>
      </w:r>
      <w:r w:rsidR="00265D3B">
        <w:t xml:space="preserve">.  </w:t>
      </w:r>
      <w:r w:rsidRPr="0090206E">
        <w:t>Accordingly, these have been redacted within the logs visible through the</w:t>
      </w:r>
      <w:r w:rsidRPr="00102A33">
        <w:t xml:space="preserve"> designation [REDACTED - PRIVILEGED]</w:t>
      </w:r>
      <w:r w:rsidR="001B3548">
        <w:t>.</w:t>
      </w:r>
    </w:p>
    <w:p w14:paraId="52CBF0F5" w14:textId="2C65394E" w:rsidR="00413959" w:rsidRDefault="00413959" w:rsidP="00413959">
      <w:pPr>
        <w:pStyle w:val="Heading3"/>
      </w:pPr>
      <w:r>
        <w:t>INPEX (No 3)</w:t>
      </w:r>
    </w:p>
    <w:p w14:paraId="311B07A5" w14:textId="3F3469D1" w:rsidR="00467CC6" w:rsidRDefault="00467CC6" w:rsidP="00B94211">
      <w:pPr>
        <w:pStyle w:val="ParaNumbering"/>
      </w:pPr>
      <w:r>
        <w:t xml:space="preserve">As </w:t>
      </w:r>
      <w:r w:rsidR="003844C6">
        <w:t>indic</w:t>
      </w:r>
      <w:r w:rsidR="00216CD7">
        <w:t>a</w:t>
      </w:r>
      <w:r w:rsidR="003844C6">
        <w:t xml:space="preserve">ted in </w:t>
      </w:r>
      <w:r w:rsidR="003844C6" w:rsidRPr="003844C6">
        <w:rPr>
          <w:i/>
          <w:iCs/>
        </w:rPr>
        <w:t>INPEX (No 3)</w:t>
      </w:r>
      <w:r w:rsidR="003844C6">
        <w:t xml:space="preserve">, </w:t>
      </w:r>
      <w:r w:rsidR="00405D45">
        <w:t>th</w:t>
      </w:r>
      <w:r w:rsidR="00376E3B">
        <w:t>ere have been numerous discovery applications and rulings made in this proceeding</w:t>
      </w:r>
      <w:proofErr w:type="gramStart"/>
      <w:r w:rsidR="001B3548">
        <w:t xml:space="preserve">: </w:t>
      </w:r>
      <w:r w:rsidR="00E35B9D">
        <w:t xml:space="preserve"> </w:t>
      </w:r>
      <w:r w:rsidR="00522633">
        <w:t>[</w:t>
      </w:r>
      <w:proofErr w:type="gramEnd"/>
      <w:r w:rsidR="00522633">
        <w:t>75]</w:t>
      </w:r>
      <w:r w:rsidR="003131BB">
        <w:t xml:space="preserve"> of those reasons</w:t>
      </w:r>
      <w:r w:rsidR="00265D3B">
        <w:t xml:space="preserve">.  </w:t>
      </w:r>
      <w:r w:rsidR="005D041B">
        <w:t>I</w:t>
      </w:r>
      <w:r w:rsidR="009262FB">
        <w:t>t</w:t>
      </w:r>
      <w:r w:rsidR="005D041B">
        <w:t xml:space="preserve"> became apparent in the lead up to and during tr</w:t>
      </w:r>
      <w:r w:rsidR="009262FB">
        <w:t>ia</w:t>
      </w:r>
      <w:r w:rsidR="005D041B">
        <w:t xml:space="preserve">l that </w:t>
      </w:r>
      <w:r w:rsidR="00953ED0">
        <w:t xml:space="preserve">certain </w:t>
      </w:r>
      <w:r w:rsidR="005D041B">
        <w:t>documents</w:t>
      </w:r>
      <w:r w:rsidR="007C6E1F">
        <w:t xml:space="preserve"> that</w:t>
      </w:r>
      <w:r w:rsidR="005D041B">
        <w:t xml:space="preserve"> should have been discovered had not been</w:t>
      </w:r>
      <w:r w:rsidR="001B3548">
        <w:t xml:space="preserve">: </w:t>
      </w:r>
      <w:r w:rsidR="005D041B">
        <w:t>[20]</w:t>
      </w:r>
      <w:r w:rsidR="00265D3B">
        <w:t xml:space="preserve">.  </w:t>
      </w:r>
      <w:r w:rsidR="00CC380C">
        <w:t xml:space="preserve">For example, </w:t>
      </w:r>
      <w:r w:rsidR="007C6E1F">
        <w:t xml:space="preserve">ANIP produced an additional 2,972 </w:t>
      </w:r>
      <w:r w:rsidR="00D50326">
        <w:t>documents</w:t>
      </w:r>
      <w:r w:rsidR="007C6E1F">
        <w:t xml:space="preserve"> during the course</w:t>
      </w:r>
      <w:r w:rsidR="00156541">
        <w:t xml:space="preserve"> of</w:t>
      </w:r>
      <w:r w:rsidR="007C6E1F">
        <w:t xml:space="preserve"> the 11-wee</w:t>
      </w:r>
      <w:r w:rsidR="00D50326">
        <w:t>k</w:t>
      </w:r>
      <w:r w:rsidR="007C6E1F">
        <w:t xml:space="preserve"> period of the </w:t>
      </w:r>
      <w:r w:rsidR="00D50326">
        <w:t>liability</w:t>
      </w:r>
      <w:r w:rsidR="007C6E1F">
        <w:t xml:space="preserve"> tr</w:t>
      </w:r>
      <w:r w:rsidR="00D50326">
        <w:t>ia</w:t>
      </w:r>
      <w:r w:rsidR="007C6E1F">
        <w:t>l</w:t>
      </w:r>
      <w:r w:rsidR="00156541">
        <w:t xml:space="preserve"> that proceeded during June 2024 to August 2024: </w:t>
      </w:r>
      <w:r w:rsidR="00AC6C3D">
        <w:t>[24]</w:t>
      </w:r>
      <w:r w:rsidR="00265D3B">
        <w:t xml:space="preserve">.  </w:t>
      </w:r>
      <w:r w:rsidR="00B57532">
        <w:t>The late or non-</w:t>
      </w:r>
      <w:r w:rsidR="00AD1736">
        <w:t>disclosure</w:t>
      </w:r>
      <w:r w:rsidR="00B57532">
        <w:t xml:space="preserve"> of a range of other docu</w:t>
      </w:r>
      <w:r w:rsidR="00AD1736">
        <w:t>ments</w:t>
      </w:r>
      <w:r w:rsidR="00B57532">
        <w:t xml:space="preserve"> is referred to at </w:t>
      </w:r>
      <w:r w:rsidR="00AD1736">
        <w:t>[27]-[44]</w:t>
      </w:r>
      <w:r w:rsidR="001B3548">
        <w:t>.</w:t>
      </w:r>
    </w:p>
    <w:p w14:paraId="0992C8AE" w14:textId="3DB79819" w:rsidR="00DC4387" w:rsidRDefault="00116B9B" w:rsidP="0047702C">
      <w:pPr>
        <w:pStyle w:val="ParaNumbering"/>
      </w:pPr>
      <w:r>
        <w:t>The order for cross-</w:t>
      </w:r>
      <w:r w:rsidR="0008085F">
        <w:t>examination</w:t>
      </w:r>
      <w:r>
        <w:t xml:space="preserve"> was made against that </w:t>
      </w:r>
      <w:r w:rsidR="0008085F">
        <w:t>backdrop of late disclosure</w:t>
      </w:r>
      <w:r w:rsidR="00265D3B">
        <w:t xml:space="preserve">.  </w:t>
      </w:r>
      <w:r w:rsidR="00A8523E">
        <w:t xml:space="preserve">It was made in circumstances </w:t>
      </w:r>
      <w:r w:rsidR="000639EF">
        <w:t xml:space="preserve">where there were apparent deficiencies </w:t>
      </w:r>
      <w:r w:rsidR="00783C9A">
        <w:t xml:space="preserve">in the disclosure process </w:t>
      </w:r>
      <w:r w:rsidR="00A8523E">
        <w:t>which called for some explanation</w:t>
      </w:r>
      <w:proofErr w:type="gramStart"/>
      <w:r w:rsidR="001B3548">
        <w:t xml:space="preserve">:  </w:t>
      </w:r>
      <w:r w:rsidR="00710354">
        <w:t>[</w:t>
      </w:r>
      <w:proofErr w:type="gramEnd"/>
      <w:r w:rsidR="00710354">
        <w:t xml:space="preserve">57] (citing </w:t>
      </w:r>
      <w:r w:rsidR="00710354" w:rsidRPr="00022951">
        <w:rPr>
          <w:i/>
          <w:iCs/>
        </w:rPr>
        <w:t>Proct</w:t>
      </w:r>
      <w:r w:rsidR="007B0C8F">
        <w:rPr>
          <w:i/>
          <w:iCs/>
        </w:rPr>
        <w:t>e</w:t>
      </w:r>
      <w:r w:rsidR="00710354" w:rsidRPr="00022951">
        <w:rPr>
          <w:i/>
          <w:iCs/>
        </w:rPr>
        <w:t xml:space="preserve">r v </w:t>
      </w:r>
      <w:proofErr w:type="spellStart"/>
      <w:r w:rsidR="00710354" w:rsidRPr="00022951">
        <w:rPr>
          <w:i/>
          <w:iCs/>
        </w:rPr>
        <w:t>Kalivis</w:t>
      </w:r>
      <w:proofErr w:type="spellEnd"/>
      <w:r w:rsidR="00710354" w:rsidRPr="00022951">
        <w:t xml:space="preserve"> </w:t>
      </w:r>
      <w:r w:rsidR="00783C9A" w:rsidRPr="00022951">
        <w:t>[2009] FCA 1518</w:t>
      </w:r>
      <w:r w:rsidR="00783C9A">
        <w:t>)</w:t>
      </w:r>
      <w:r w:rsidR="00265D3B">
        <w:t xml:space="preserve">.  </w:t>
      </w:r>
      <w:r w:rsidR="008F2649">
        <w:t xml:space="preserve">I </w:t>
      </w:r>
      <w:r w:rsidR="00031E0C">
        <w:t>indicated</w:t>
      </w:r>
      <w:r w:rsidR="008F2649">
        <w:t xml:space="preserve"> during the trial, as a</w:t>
      </w:r>
      <w:r w:rsidR="00031E0C">
        <w:t xml:space="preserve"> </w:t>
      </w:r>
      <w:r w:rsidR="008F2649">
        <w:t xml:space="preserve">matter of procedural </w:t>
      </w:r>
      <w:r w:rsidR="00031E0C">
        <w:t>fairness</w:t>
      </w:r>
      <w:r w:rsidR="008F2649">
        <w:t xml:space="preserve">, that the occasion might arise to draw inferences about </w:t>
      </w:r>
      <w:r w:rsidR="00031E0C">
        <w:t xml:space="preserve">the </w:t>
      </w:r>
      <w:r w:rsidR="00CC380C">
        <w:t>discovery</w:t>
      </w:r>
      <w:r w:rsidR="00031E0C">
        <w:t xml:space="preserve"> process</w:t>
      </w:r>
      <w:proofErr w:type="gramStart"/>
      <w:r w:rsidR="001B3548">
        <w:t xml:space="preserve">:  </w:t>
      </w:r>
      <w:r w:rsidR="00031E0C">
        <w:t>[</w:t>
      </w:r>
      <w:proofErr w:type="gramEnd"/>
      <w:r w:rsidR="00953ED0">
        <w:t>72]</w:t>
      </w:r>
      <w:r w:rsidR="00234099">
        <w:t xml:space="preserve">, </w:t>
      </w:r>
      <w:r w:rsidR="005E3B0D">
        <w:t>[76]</w:t>
      </w:r>
      <w:r w:rsidR="001B3548">
        <w:t>.</w:t>
      </w:r>
    </w:p>
    <w:p w14:paraId="6B4B8513" w14:textId="56330D3C" w:rsidR="00E73C28" w:rsidRDefault="00E73C28" w:rsidP="0047702C">
      <w:pPr>
        <w:pStyle w:val="ParaNumbering"/>
      </w:pPr>
      <w:r>
        <w:t xml:space="preserve">I concluded that in the particular circumstances of the proceeding, </w:t>
      </w:r>
      <w:r w:rsidR="00B804A7">
        <w:t xml:space="preserve">there were reasonable </w:t>
      </w:r>
      <w:r w:rsidR="00384500">
        <w:t>grounds</w:t>
      </w:r>
      <w:r w:rsidR="00B804A7">
        <w:t xml:space="preserve"> for being fairly certain th</w:t>
      </w:r>
      <w:r w:rsidR="00384500">
        <w:t>at</w:t>
      </w:r>
      <w:r w:rsidR="00B804A7">
        <w:t xml:space="preserve"> there </w:t>
      </w:r>
      <w:r w:rsidR="00552CF1">
        <w:t>we</w:t>
      </w:r>
      <w:r w:rsidR="00B804A7">
        <w:t xml:space="preserve">re other </w:t>
      </w:r>
      <w:r w:rsidR="00384500">
        <w:t>relevant</w:t>
      </w:r>
      <w:r w:rsidR="00B804A7">
        <w:t xml:space="preserve"> </w:t>
      </w:r>
      <w:r w:rsidR="00384500">
        <w:t xml:space="preserve">documents that have not been </w:t>
      </w:r>
      <w:r w:rsidR="006262DE">
        <w:t>disclosed</w:t>
      </w:r>
      <w:proofErr w:type="gramStart"/>
      <w:r w:rsidR="001B3548">
        <w:t xml:space="preserve">:  </w:t>
      </w:r>
      <w:r w:rsidR="00384500">
        <w:t>[</w:t>
      </w:r>
      <w:proofErr w:type="gramEnd"/>
      <w:r w:rsidR="00384500">
        <w:t>89]</w:t>
      </w:r>
      <w:r w:rsidR="00265D3B">
        <w:t xml:space="preserve">.  </w:t>
      </w:r>
      <w:r w:rsidR="00384500">
        <w:t xml:space="preserve">I also </w:t>
      </w:r>
      <w:r w:rsidR="00910306">
        <w:t>decided</w:t>
      </w:r>
      <w:r w:rsidR="00CE660F">
        <w:t xml:space="preserve"> that </w:t>
      </w:r>
      <w:r w:rsidR="006262DE">
        <w:t>cross-examination</w:t>
      </w:r>
      <w:r w:rsidR="00F93697">
        <w:t xml:space="preserve"> was the </w:t>
      </w:r>
      <w:r w:rsidR="006262DE">
        <w:t>appropriate</w:t>
      </w:r>
      <w:r w:rsidR="00F93697">
        <w:t xml:space="preserve"> </w:t>
      </w:r>
      <w:r w:rsidR="006262DE">
        <w:t>means</w:t>
      </w:r>
      <w:r w:rsidR="00F93697">
        <w:t xml:space="preserve"> </w:t>
      </w:r>
      <w:r w:rsidR="006262DE">
        <w:t>in the particular circumstances whereby</w:t>
      </w:r>
      <w:r w:rsidR="00F93697">
        <w:t xml:space="preserve"> INPEX might </w:t>
      </w:r>
      <w:r w:rsidR="006262DE">
        <w:t>expose</w:t>
      </w:r>
      <w:r w:rsidR="00F93697">
        <w:t xml:space="preserve"> </w:t>
      </w:r>
      <w:r w:rsidR="006262DE">
        <w:t>whether</w:t>
      </w:r>
      <w:r w:rsidR="00F93697">
        <w:t xml:space="preserve"> there were </w:t>
      </w:r>
      <w:r w:rsidR="006262DE">
        <w:t>inadequacies</w:t>
      </w:r>
      <w:r w:rsidR="00F93697">
        <w:t xml:space="preserve"> in the existing </w:t>
      </w:r>
      <w:r w:rsidR="006262DE">
        <w:t>discovery</w:t>
      </w:r>
      <w:r w:rsidR="00F93697">
        <w:t xml:space="preserve"> </w:t>
      </w:r>
      <w:r w:rsidR="006262DE">
        <w:t>process</w:t>
      </w:r>
      <w:r w:rsidR="00F93697">
        <w:t xml:space="preserve"> that might have </w:t>
      </w:r>
      <w:r w:rsidR="006262DE">
        <w:t>denied them access to highly relevant documents and may potentially cause prejudice</w:t>
      </w:r>
      <w:proofErr w:type="gramStart"/>
      <w:r w:rsidR="001B3548">
        <w:t xml:space="preserve">:  </w:t>
      </w:r>
      <w:r w:rsidR="007218CC">
        <w:t>[</w:t>
      </w:r>
      <w:proofErr w:type="gramEnd"/>
      <w:r w:rsidR="007218CC">
        <w:t>93]</w:t>
      </w:r>
      <w:r w:rsidR="001B3548">
        <w:t>.</w:t>
      </w:r>
    </w:p>
    <w:p w14:paraId="5F2E9683" w14:textId="006258AC" w:rsidR="007218CC" w:rsidRDefault="001B3548" w:rsidP="0047702C">
      <w:pPr>
        <w:pStyle w:val="ParaNumbering"/>
      </w:pPr>
      <w:r>
        <w:t>Mr </w:t>
      </w:r>
      <w:r w:rsidR="007218CC">
        <w:t xml:space="preserve">Donisi and </w:t>
      </w:r>
      <w:r w:rsidR="00232F19">
        <w:t>Ms </w:t>
      </w:r>
      <w:r w:rsidR="007218CC">
        <w:t>Lancaster were on notice as a result of (</w:t>
      </w:r>
      <w:r w:rsidR="00F9550F">
        <w:t>amongst other things</w:t>
      </w:r>
      <w:r w:rsidR="007218CC">
        <w:t xml:space="preserve">) the reasons in </w:t>
      </w:r>
      <w:r w:rsidR="007218CC" w:rsidRPr="0026689C">
        <w:rPr>
          <w:i/>
          <w:iCs/>
        </w:rPr>
        <w:t>INPEX (</w:t>
      </w:r>
      <w:r w:rsidR="0026689C">
        <w:rPr>
          <w:i/>
          <w:iCs/>
        </w:rPr>
        <w:t>N</w:t>
      </w:r>
      <w:r w:rsidR="007218CC" w:rsidRPr="0026689C">
        <w:rPr>
          <w:i/>
          <w:iCs/>
        </w:rPr>
        <w:t xml:space="preserve">o 3) </w:t>
      </w:r>
      <w:r w:rsidR="007218CC">
        <w:t xml:space="preserve">of the </w:t>
      </w:r>
      <w:r w:rsidR="00C36EED">
        <w:t xml:space="preserve">risk of inferences being drawn in relation to the discovery processes undertaken </w:t>
      </w:r>
      <w:r w:rsidR="00910306">
        <w:t>t</w:t>
      </w:r>
      <w:r w:rsidR="00C36EED">
        <w:t>o date</w:t>
      </w:r>
      <w:r w:rsidR="00910306">
        <w:t>,</w:t>
      </w:r>
      <w:r w:rsidR="00C36EED">
        <w:t xml:space="preserve"> and the purpose of the proposed cross-</w:t>
      </w:r>
      <w:r w:rsidR="0026689C">
        <w:t>examination</w:t>
      </w:r>
      <w:r w:rsidR="00C36EED">
        <w:t>.</w:t>
      </w:r>
    </w:p>
    <w:p w14:paraId="60E6D434" w14:textId="5743AC3F" w:rsidR="00B05288" w:rsidRDefault="00C33D70" w:rsidP="00173490">
      <w:pPr>
        <w:pStyle w:val="Heading3"/>
      </w:pPr>
      <w:r>
        <w:t>Circumstances of waiver</w:t>
      </w:r>
    </w:p>
    <w:p w14:paraId="6F1D9078" w14:textId="437B688F" w:rsidR="00F241CE" w:rsidRDefault="00D5522E" w:rsidP="009D37E9">
      <w:pPr>
        <w:pStyle w:val="ParaNumbering"/>
      </w:pPr>
      <w:r>
        <w:t>INPEX</w:t>
      </w:r>
      <w:r w:rsidR="00173490">
        <w:t xml:space="preserve"> contends that any privilege that existed in relation to the Embedded Comments has been waived by </w:t>
      </w:r>
      <w:r w:rsidR="00132E5F">
        <w:t xml:space="preserve">ANIP by </w:t>
      </w:r>
      <w:r w:rsidR="00173490">
        <w:t xml:space="preserve">reason of the evidence given by </w:t>
      </w:r>
      <w:r w:rsidR="001B3548">
        <w:t>Mr </w:t>
      </w:r>
      <w:r w:rsidR="00173490">
        <w:t xml:space="preserve">Donisi in </w:t>
      </w:r>
      <w:r w:rsidR="001B5B82">
        <w:t>Donisi 3, Donisi 4 and in his cross</w:t>
      </w:r>
      <w:r w:rsidR="003B2EB8">
        <w:noBreakHyphen/>
      </w:r>
      <w:r w:rsidR="001B5B82">
        <w:t>examination</w:t>
      </w:r>
      <w:r w:rsidR="001B3548">
        <w:t>.</w:t>
      </w:r>
    </w:p>
    <w:p w14:paraId="3D1276D0" w14:textId="59FC029A" w:rsidR="009D37E9" w:rsidRDefault="00BC4170" w:rsidP="001B5CFA">
      <w:pPr>
        <w:pStyle w:val="ParaNumbering"/>
      </w:pPr>
      <w:r>
        <w:lastRenderedPageBreak/>
        <w:t xml:space="preserve">Donisi 3 was </w:t>
      </w:r>
      <w:r w:rsidR="00856548">
        <w:t>filed on 29 August 2024, day 36 of the tr</w:t>
      </w:r>
      <w:r w:rsidR="00E1189C">
        <w:t>ia</w:t>
      </w:r>
      <w:r w:rsidR="00856548">
        <w:t>l</w:t>
      </w:r>
      <w:r w:rsidR="00265D3B">
        <w:t xml:space="preserve">.  </w:t>
      </w:r>
      <w:r w:rsidR="001B3548">
        <w:t>Mr </w:t>
      </w:r>
      <w:r w:rsidR="00042E5C">
        <w:t>Donisi</w:t>
      </w:r>
      <w:r w:rsidR="0082148D">
        <w:t xml:space="preserve"> accepted under cross</w:t>
      </w:r>
      <w:r w:rsidR="003B2EB8">
        <w:noBreakHyphen/>
      </w:r>
      <w:r w:rsidR="00042E5C">
        <w:t>examination</w:t>
      </w:r>
      <w:r w:rsidR="0082148D">
        <w:t xml:space="preserve"> that it was put on </w:t>
      </w:r>
      <w:r w:rsidR="00042E5C">
        <w:t>in</w:t>
      </w:r>
      <w:r w:rsidR="0082148D">
        <w:t xml:space="preserve"> order to explain why many documents had been discovered during</w:t>
      </w:r>
      <w:r w:rsidR="00E623D9">
        <w:t xml:space="preserve"> (rather than before)</w:t>
      </w:r>
      <w:r w:rsidR="0082148D">
        <w:t xml:space="preserve"> the trial</w:t>
      </w:r>
      <w:r w:rsidR="00265D3B">
        <w:t xml:space="preserve">.  </w:t>
      </w:r>
      <w:r w:rsidR="00E049D3">
        <w:t>He accepted that it was put on to present facts that would help persuade the Court that while there were isol</w:t>
      </w:r>
      <w:r w:rsidR="00E049D3" w:rsidRPr="00D067E8">
        <w:t>ated instances of error in the discovery process, the overall process was sound and reliable</w:t>
      </w:r>
      <w:r w:rsidR="00265D3B">
        <w:t xml:space="preserve">.  </w:t>
      </w:r>
      <w:r w:rsidR="00856548" w:rsidRPr="00D067E8">
        <w:t>Donisi 4 was filed for the purpose of</w:t>
      </w:r>
      <w:r w:rsidR="00D067E8" w:rsidRPr="00D067E8">
        <w:t xml:space="preserve"> </w:t>
      </w:r>
      <w:r w:rsidR="00F90719">
        <w:t xml:space="preserve">opposing the application for </w:t>
      </w:r>
      <w:r w:rsidR="00D067E8" w:rsidRPr="00D067E8">
        <w:t>cross-examinatio</w:t>
      </w:r>
      <w:r w:rsidR="00F90719">
        <w:t>n</w:t>
      </w:r>
      <w:r w:rsidR="00265D3B">
        <w:t xml:space="preserve">.  </w:t>
      </w:r>
      <w:r w:rsidR="001B3548">
        <w:t>Mr </w:t>
      </w:r>
      <w:r w:rsidR="00E049D3" w:rsidRPr="00D067E8">
        <w:t>D</w:t>
      </w:r>
      <w:r w:rsidR="00E049D3">
        <w:t xml:space="preserve">onisi accepted </w:t>
      </w:r>
      <w:r w:rsidR="00F3287E">
        <w:t xml:space="preserve">during the cross-examination hearing </w:t>
      </w:r>
      <w:r w:rsidR="00E049D3">
        <w:t xml:space="preserve">that </w:t>
      </w:r>
      <w:r w:rsidR="00257BFE">
        <w:t xml:space="preserve">the objective of the affidavit was to </w:t>
      </w:r>
      <w:r w:rsidR="00B24A6F">
        <w:t>demonstrate</w:t>
      </w:r>
      <w:r w:rsidR="00257BFE">
        <w:t xml:space="preserve"> that any </w:t>
      </w:r>
      <w:r w:rsidR="00B24A6F">
        <w:t>failure</w:t>
      </w:r>
      <w:r w:rsidR="00257BFE">
        <w:t xml:space="preserve"> </w:t>
      </w:r>
      <w:r w:rsidR="00B24A6F">
        <w:t>to</w:t>
      </w:r>
      <w:r w:rsidR="00257BFE">
        <w:t xml:space="preserve"> produce discovered docu</w:t>
      </w:r>
      <w:r w:rsidR="00B24A6F">
        <w:t>ments</w:t>
      </w:r>
      <w:r w:rsidR="00257BFE">
        <w:t xml:space="preserve"> was inadvertent </w:t>
      </w:r>
      <w:r w:rsidR="00B24A6F">
        <w:t>and that from the facts given the process overall was sound and reliable.</w:t>
      </w:r>
    </w:p>
    <w:p w14:paraId="51867B14" w14:textId="3026FA6A" w:rsidR="00F2740A" w:rsidRDefault="004B2AD6" w:rsidP="00262312">
      <w:pPr>
        <w:pStyle w:val="ParaNumbering"/>
      </w:pPr>
      <w:r>
        <w:t>It is not</w:t>
      </w:r>
      <w:r w:rsidR="00F2758F">
        <w:t xml:space="preserve"> the purpose of </w:t>
      </w:r>
      <w:r>
        <w:t>these reasons</w:t>
      </w:r>
      <w:r w:rsidR="00F2758F">
        <w:t xml:space="preserve"> to address </w:t>
      </w:r>
      <w:r w:rsidR="001B3548">
        <w:t>Mr </w:t>
      </w:r>
      <w:r>
        <w:t>Donisi's</w:t>
      </w:r>
      <w:r w:rsidR="00F2758F">
        <w:t xml:space="preserve"> evidence</w:t>
      </w:r>
      <w:r w:rsidR="00537797">
        <w:t xml:space="preserve"> or ANIP's discovery regime</w:t>
      </w:r>
      <w:r w:rsidR="00F2758F">
        <w:t xml:space="preserve"> as a whole</w:t>
      </w:r>
      <w:r w:rsidR="00265D3B">
        <w:t xml:space="preserve">.  </w:t>
      </w:r>
      <w:r w:rsidR="00F2758F">
        <w:t>I</w:t>
      </w:r>
      <w:r>
        <w:t>t</w:t>
      </w:r>
      <w:r w:rsidR="00F2758F">
        <w:t xml:space="preserve"> remains the </w:t>
      </w:r>
      <w:r>
        <w:t>position</w:t>
      </w:r>
      <w:r w:rsidR="00F2758F">
        <w:t xml:space="preserve"> </w:t>
      </w:r>
      <w:r>
        <w:t xml:space="preserve">(as I understand it) </w:t>
      </w:r>
      <w:r w:rsidR="00F2758F">
        <w:t xml:space="preserve">that the parties intend </w:t>
      </w:r>
      <w:r>
        <w:t>to</w:t>
      </w:r>
      <w:r w:rsidR="00F2758F">
        <w:t xml:space="preserve"> make </w:t>
      </w:r>
      <w:r>
        <w:t xml:space="preserve">further </w:t>
      </w:r>
      <w:r w:rsidR="00F2758F">
        <w:t xml:space="preserve">submissions </w:t>
      </w:r>
      <w:r>
        <w:t>generally about ANIP's discovery</w:t>
      </w:r>
      <w:r w:rsidR="00265D3B">
        <w:t xml:space="preserve">.  </w:t>
      </w:r>
      <w:r w:rsidR="00B94051">
        <w:t xml:space="preserve">In this regard I note that ANIP received </w:t>
      </w:r>
      <w:r w:rsidR="004D671F">
        <w:t xml:space="preserve">certain </w:t>
      </w:r>
      <w:r w:rsidR="00537797">
        <w:t>correspondence</w:t>
      </w:r>
      <w:r w:rsidR="00867490">
        <w:t xml:space="preserve"> </w:t>
      </w:r>
      <w:r w:rsidR="00B94051">
        <w:t>f</w:t>
      </w:r>
      <w:r w:rsidR="00537797">
        <w:t>rom INPEX (Corrs to Cla</w:t>
      </w:r>
      <w:r w:rsidR="00867490">
        <w:t>yton</w:t>
      </w:r>
      <w:r w:rsidR="00537797">
        <w:t xml:space="preserve"> U</w:t>
      </w:r>
      <w:r w:rsidR="00867490">
        <w:t>tz) prior to the cross-examination hearing</w:t>
      </w:r>
      <w:r w:rsidR="00265D3B">
        <w:t>.</w:t>
      </w:r>
    </w:p>
    <w:p w14:paraId="0C025404" w14:textId="53816535" w:rsidR="00262312" w:rsidRDefault="004D671F" w:rsidP="00262312">
      <w:pPr>
        <w:pStyle w:val="ParaNumbering"/>
      </w:pPr>
      <w:r>
        <w:t>For example, on 10 September 2024</w:t>
      </w:r>
      <w:r w:rsidR="00DC1916">
        <w:t>,</w:t>
      </w:r>
      <w:r>
        <w:t xml:space="preserve"> INPEX told ANIP:</w:t>
      </w:r>
    </w:p>
    <w:p w14:paraId="505DDF64" w14:textId="642E5E07" w:rsidR="00262312" w:rsidRDefault="00262312" w:rsidP="00262312">
      <w:pPr>
        <w:pStyle w:val="Quote1"/>
      </w:pPr>
      <w:r>
        <w:t>As to the consequences that may flow from any evidence given under cross</w:t>
      </w:r>
      <w:r w:rsidR="007C34E4">
        <w:noBreakHyphen/>
      </w:r>
      <w:r>
        <w:t>examination, that will depend upon the evidence</w:t>
      </w:r>
      <w:r w:rsidR="00265D3B">
        <w:t xml:space="preserve">.  </w:t>
      </w:r>
      <w:r>
        <w:t>Without limitation, INPEX may then:</w:t>
      </w:r>
    </w:p>
    <w:p w14:paraId="38FA1B4C" w14:textId="0106025E" w:rsidR="00F2740A" w:rsidRDefault="007C34E4" w:rsidP="00E709A0">
      <w:pPr>
        <w:pStyle w:val="Quote1"/>
        <w:ind w:left="1440" w:hanging="703"/>
      </w:pPr>
      <w:r>
        <w:t>(a)</w:t>
      </w:r>
      <w:r>
        <w:tab/>
      </w:r>
      <w:r w:rsidR="00262312">
        <w:t>ask the Court to draw adverse inferences; and/or</w:t>
      </w:r>
    </w:p>
    <w:p w14:paraId="21EB11D5" w14:textId="4F287394" w:rsidR="00F2740A" w:rsidRDefault="007C34E4" w:rsidP="00E709A0">
      <w:pPr>
        <w:pStyle w:val="Quote1"/>
        <w:ind w:left="1440" w:hanging="703"/>
      </w:pPr>
      <w:r>
        <w:t>(b)</w:t>
      </w:r>
      <w:r>
        <w:tab/>
      </w:r>
      <w:r w:rsidR="00262312">
        <w:t>invite the Court to conclude that ANIP has made admissions against interest; and/or</w:t>
      </w:r>
    </w:p>
    <w:p w14:paraId="273F28D7" w14:textId="5E95936F" w:rsidR="00F2740A" w:rsidRDefault="007C34E4" w:rsidP="00E709A0">
      <w:pPr>
        <w:pStyle w:val="Quote1"/>
        <w:ind w:left="1440" w:hanging="703"/>
      </w:pPr>
      <w:r>
        <w:t>(c)</w:t>
      </w:r>
      <w:r>
        <w:tab/>
      </w:r>
      <w:r w:rsidR="00262312">
        <w:t>seek orders for further discovery; and/or</w:t>
      </w:r>
    </w:p>
    <w:p w14:paraId="10ED2117" w14:textId="113C8245" w:rsidR="00262312" w:rsidRDefault="007C34E4" w:rsidP="00E709A0">
      <w:pPr>
        <w:pStyle w:val="Quote1"/>
        <w:ind w:left="1440" w:hanging="703"/>
      </w:pPr>
      <w:r>
        <w:t>(d)</w:t>
      </w:r>
      <w:r>
        <w:tab/>
      </w:r>
      <w:r w:rsidR="00F2740A">
        <w:t>apply to strike out parts of the defence.</w:t>
      </w:r>
    </w:p>
    <w:p w14:paraId="5369D0A4" w14:textId="2717FA7E" w:rsidR="00262312" w:rsidRDefault="00A27904" w:rsidP="00A27904">
      <w:pPr>
        <w:pStyle w:val="ParaNumbering"/>
      </w:pPr>
      <w:r>
        <w:t xml:space="preserve">In the same letter </w:t>
      </w:r>
      <w:r w:rsidR="00262312">
        <w:t>INPEX invited ANIP to:</w:t>
      </w:r>
    </w:p>
    <w:p w14:paraId="1D7600B7" w14:textId="346BB4B9" w:rsidR="00262312" w:rsidRDefault="00262312" w:rsidP="007C34E4">
      <w:pPr>
        <w:pStyle w:val="Quote1"/>
        <w:spacing w:after="360"/>
      </w:pPr>
      <w:r>
        <w:t>…</w:t>
      </w:r>
      <w:r w:rsidR="007C34E4">
        <w:t xml:space="preserve"> </w:t>
      </w:r>
      <w:r>
        <w:t>put forward a proposal as to how ANIP can satisfy INPEX and the Court that ANIP has made or will make full and proper discovery on the key questions of problems, complaints or claims regarding I228 on other projects and the culpability of the first respondent.</w:t>
      </w:r>
    </w:p>
    <w:p w14:paraId="5AE1404E" w14:textId="285E8CE8" w:rsidR="00F2740A" w:rsidRDefault="00A27904" w:rsidP="009D37E9">
      <w:pPr>
        <w:pStyle w:val="ParaNumbering"/>
      </w:pPr>
      <w:r>
        <w:t>I acknowledge that broader issues remain between the parties as to disclosure of information for the purpose of th</w:t>
      </w:r>
      <w:r w:rsidR="00003D08">
        <w:t>e</w:t>
      </w:r>
      <w:r>
        <w:t xml:space="preserve"> trial</w:t>
      </w:r>
      <w:r w:rsidR="00DC1916">
        <w:t xml:space="preserve">, and that </w:t>
      </w:r>
      <w:r w:rsidR="00003D08">
        <w:t xml:space="preserve">they </w:t>
      </w:r>
      <w:r w:rsidR="006A1F38">
        <w:t>may</w:t>
      </w:r>
      <w:r w:rsidR="00DC1916">
        <w:t xml:space="preserve"> be addressed further in due course.</w:t>
      </w:r>
    </w:p>
    <w:p w14:paraId="33F6D3B2" w14:textId="4E5074A6" w:rsidR="007C34E4" w:rsidRDefault="00DC1916" w:rsidP="00912089">
      <w:pPr>
        <w:pStyle w:val="ParaNumbering"/>
      </w:pPr>
      <w:r>
        <w:t>However, i</w:t>
      </w:r>
      <w:r w:rsidR="00537797">
        <w:t xml:space="preserve">n these reasons I </w:t>
      </w:r>
      <w:r w:rsidR="004B2AD6">
        <w:t>am concerned with the particular application before me</w:t>
      </w:r>
      <w:r w:rsidR="001B3548">
        <w:t>.</w:t>
      </w:r>
    </w:p>
    <w:p w14:paraId="6C74F033" w14:textId="09051024" w:rsidR="00AF6B43" w:rsidRPr="007C34E4" w:rsidRDefault="00E1189C" w:rsidP="00912089">
      <w:pPr>
        <w:pStyle w:val="ParaNumbering"/>
      </w:pPr>
      <w:r>
        <w:t xml:space="preserve">I have summarised </w:t>
      </w:r>
      <w:r w:rsidR="00BE4373">
        <w:t xml:space="preserve">relevant </w:t>
      </w:r>
      <w:r w:rsidR="00D679BC">
        <w:t xml:space="preserve">parts of </w:t>
      </w:r>
      <w:r w:rsidR="001B3548">
        <w:t>Mr </w:t>
      </w:r>
      <w:r w:rsidR="00D679BC">
        <w:t>Donisi'</w:t>
      </w:r>
      <w:r w:rsidR="009D0A74">
        <w:t>s</w:t>
      </w:r>
      <w:r w:rsidR="00D679BC">
        <w:t xml:space="preserve"> </w:t>
      </w:r>
      <w:r w:rsidR="00103BEF">
        <w:t>evidence</w:t>
      </w:r>
      <w:r w:rsidR="00D679BC">
        <w:t xml:space="preserve"> in </w:t>
      </w:r>
      <w:r w:rsidR="00D679BC" w:rsidRPr="007C34E4">
        <w:rPr>
          <w:i/>
          <w:iCs/>
        </w:rPr>
        <w:t>INPEX (No 3)</w:t>
      </w:r>
      <w:r w:rsidR="00D679BC">
        <w:t xml:space="preserve"> at [78]-[</w:t>
      </w:r>
      <w:r w:rsidR="00103BEF">
        <w:t>86]</w:t>
      </w:r>
      <w:r w:rsidR="00265D3B">
        <w:t xml:space="preserve">.  </w:t>
      </w:r>
      <w:r w:rsidR="001B7D3D">
        <w:t xml:space="preserve">Relevantly, </w:t>
      </w:r>
      <w:r w:rsidR="001B3548">
        <w:t>Mr </w:t>
      </w:r>
      <w:r w:rsidR="001B7D3D">
        <w:t xml:space="preserve">Donisi </w:t>
      </w:r>
      <w:r w:rsidR="008D2C80">
        <w:t>describes</w:t>
      </w:r>
      <w:r w:rsidR="00735AB3">
        <w:t xml:space="preserve"> the Relativity database</w:t>
      </w:r>
      <w:r w:rsidR="00490181">
        <w:t xml:space="preserve"> in Donisi 3</w:t>
      </w:r>
      <w:r w:rsidR="00AF6B43" w:rsidRPr="007C34E4">
        <w:t>.</w:t>
      </w:r>
    </w:p>
    <w:p w14:paraId="54B1527C" w14:textId="4752C8AE" w:rsidR="003B0A15" w:rsidRDefault="006B51B6" w:rsidP="009D37E9">
      <w:pPr>
        <w:pStyle w:val="ParaNumbering"/>
      </w:pPr>
      <w:r>
        <w:lastRenderedPageBreak/>
        <w:t>In Donisi 3 and Donisi 4</w:t>
      </w:r>
      <w:r w:rsidR="002C685E">
        <w:t>,</w:t>
      </w:r>
      <w:r>
        <w:t xml:space="preserve"> </w:t>
      </w:r>
      <w:r w:rsidR="001B3548">
        <w:t>Mr </w:t>
      </w:r>
      <w:r w:rsidR="00BF63E2">
        <w:t>Donisi deposes</w:t>
      </w:r>
      <w:r w:rsidR="00AF6B43">
        <w:t xml:space="preserve"> that </w:t>
      </w:r>
      <w:r w:rsidR="00F44323">
        <w:t xml:space="preserve">information about the </w:t>
      </w:r>
      <w:r w:rsidR="00735AB3">
        <w:t>discovery</w:t>
      </w:r>
      <w:r w:rsidR="00F44323">
        <w:t xml:space="preserve"> of </w:t>
      </w:r>
      <w:r w:rsidR="009C47E6">
        <w:t>identified</w:t>
      </w:r>
      <w:r w:rsidR="00F44323">
        <w:t xml:space="preserve"> </w:t>
      </w:r>
      <w:r w:rsidR="00735AB3">
        <w:t>documents</w:t>
      </w:r>
      <w:r w:rsidR="00AF6B43">
        <w:t xml:space="preserve"> </w:t>
      </w:r>
      <w:r w:rsidR="00F51843">
        <w:t>wa</w:t>
      </w:r>
      <w:r w:rsidR="00AF6B43">
        <w:t>s</w:t>
      </w:r>
      <w:r w:rsidR="00F44323">
        <w:t xml:space="preserve"> </w:t>
      </w:r>
      <w:r w:rsidR="00735AB3">
        <w:t>based o</w:t>
      </w:r>
      <w:r w:rsidR="00735AB3" w:rsidRPr="002C5264">
        <w:t xml:space="preserve">n 'the information available to </w:t>
      </w:r>
      <w:r w:rsidR="00F51843" w:rsidRPr="002C5264">
        <w:t>[him]</w:t>
      </w:r>
      <w:r w:rsidR="00735AB3" w:rsidRPr="002C5264">
        <w:t xml:space="preserve"> from the </w:t>
      </w:r>
      <w:r w:rsidR="005176DD" w:rsidRPr="002C5264">
        <w:t>Relativity</w:t>
      </w:r>
      <w:r w:rsidR="00735AB3" w:rsidRPr="002C5264">
        <w:t xml:space="preserve"> database'</w:t>
      </w:r>
      <w:r w:rsidR="00AF6B43" w:rsidRPr="002C5264">
        <w:t xml:space="preserve"> </w:t>
      </w:r>
      <w:r w:rsidR="003B0A15" w:rsidRPr="002C5264">
        <w:t>abo</w:t>
      </w:r>
      <w:r w:rsidR="003B0A15">
        <w:t xml:space="preserve">ut the documents </w:t>
      </w:r>
      <w:r w:rsidR="00F51843">
        <w:t xml:space="preserve">and that </w:t>
      </w:r>
      <w:r w:rsidR="003B0A15">
        <w:t>non-disclosure was inadvertent</w:t>
      </w:r>
      <w:r w:rsidR="001B3548">
        <w:t xml:space="preserve">:  </w:t>
      </w:r>
      <w:r w:rsidR="003B0A15">
        <w:t xml:space="preserve">for example, </w:t>
      </w:r>
      <w:r w:rsidR="005176DD">
        <w:t>Donisi 3</w:t>
      </w:r>
      <w:r w:rsidR="009C47E6">
        <w:t xml:space="preserve"> at </w:t>
      </w:r>
      <w:r w:rsidR="003B2EB8">
        <w:t>paras </w:t>
      </w:r>
      <w:r w:rsidR="009C47E6">
        <w:t>31</w:t>
      </w:r>
      <w:r w:rsidR="003B2EB8">
        <w:noBreakHyphen/>
      </w:r>
      <w:r w:rsidR="009C47E6">
        <w:t>32</w:t>
      </w:r>
      <w:r>
        <w:t>;</w:t>
      </w:r>
      <w:r w:rsidR="00985441">
        <w:t xml:space="preserve"> </w:t>
      </w:r>
      <w:r w:rsidR="00F51843">
        <w:t>Donisi 4</w:t>
      </w:r>
      <w:r w:rsidR="009C47E6">
        <w:t xml:space="preserve"> at </w:t>
      </w:r>
      <w:r w:rsidR="003B2EB8">
        <w:t>paras </w:t>
      </w:r>
      <w:r w:rsidR="009C47E6">
        <w:t>49</w:t>
      </w:r>
      <w:r w:rsidR="003B2EB8">
        <w:noBreakHyphen/>
      </w:r>
      <w:r w:rsidR="009C47E6">
        <w:t>51</w:t>
      </w:r>
      <w:r w:rsidR="001B3548">
        <w:t>.</w:t>
      </w:r>
    </w:p>
    <w:p w14:paraId="502D3505" w14:textId="6D031D64" w:rsidR="00D11E00" w:rsidRDefault="001B3548" w:rsidP="009D37E9">
      <w:pPr>
        <w:pStyle w:val="ParaNumbering"/>
      </w:pPr>
      <w:r>
        <w:t>Mr </w:t>
      </w:r>
      <w:r w:rsidR="00D8242B">
        <w:t>D</w:t>
      </w:r>
      <w:r w:rsidR="00426586">
        <w:t>onisi</w:t>
      </w:r>
      <w:r w:rsidR="00D8242B">
        <w:t xml:space="preserve"> d</w:t>
      </w:r>
      <w:r w:rsidR="00426586">
        <w:t>oes</w:t>
      </w:r>
      <w:r w:rsidR="00D8242B">
        <w:t xml:space="preserve"> not refer </w:t>
      </w:r>
      <w:r w:rsidR="00F165C7">
        <w:t xml:space="preserve">in his affidavit </w:t>
      </w:r>
      <w:r w:rsidR="00B42C1F">
        <w:t xml:space="preserve">or oral evidence to </w:t>
      </w:r>
      <w:r w:rsidR="00F165C7">
        <w:t>Relativity</w:t>
      </w:r>
      <w:r w:rsidR="00D8242B">
        <w:t xml:space="preserve"> </w:t>
      </w:r>
      <w:r w:rsidR="009C47E6">
        <w:t>containing</w:t>
      </w:r>
      <w:r w:rsidR="00D8242B">
        <w:t xml:space="preserve"> </w:t>
      </w:r>
      <w:r w:rsidR="00415EA1">
        <w:t xml:space="preserve">any </w:t>
      </w:r>
      <w:r w:rsidR="00CD16AD">
        <w:t xml:space="preserve">embedded </w:t>
      </w:r>
      <w:r w:rsidR="00F165C7">
        <w:t>comments</w:t>
      </w:r>
      <w:r w:rsidR="00265D3B">
        <w:t xml:space="preserve">.  </w:t>
      </w:r>
      <w:r w:rsidR="00911757">
        <w:t>However as is self-evident from the privilege claim, th</w:t>
      </w:r>
      <w:r w:rsidR="0032055E">
        <w:t xml:space="preserve">e </w:t>
      </w:r>
      <w:r w:rsidR="00F41A4F">
        <w:t>document histories</w:t>
      </w:r>
      <w:r w:rsidR="0032055E">
        <w:t xml:space="preserve"> in Relativity include not only the bare details about dates of review and coding</w:t>
      </w:r>
      <w:r w:rsidR="00E25D4E">
        <w:t>, but</w:t>
      </w:r>
      <w:r w:rsidR="0032055E">
        <w:t xml:space="preserve"> comments.</w:t>
      </w:r>
    </w:p>
    <w:p w14:paraId="5A61A320" w14:textId="734C5271" w:rsidR="00FE1886" w:rsidRDefault="00C91825" w:rsidP="009D37E9">
      <w:pPr>
        <w:pStyle w:val="ParaNumbering"/>
      </w:pPr>
      <w:r>
        <w:t xml:space="preserve">There is no suggestion that </w:t>
      </w:r>
      <w:r w:rsidR="001B3548">
        <w:t>Mr </w:t>
      </w:r>
      <w:r>
        <w:t xml:space="preserve">Donisi has </w:t>
      </w:r>
      <w:r w:rsidR="002276C2">
        <w:t xml:space="preserve">or could have </w:t>
      </w:r>
      <w:r>
        <w:t xml:space="preserve">reviewed the </w:t>
      </w:r>
      <w:r w:rsidR="00F41A4F">
        <w:t>document histories</w:t>
      </w:r>
      <w:r>
        <w:t xml:space="preserve"> for </w:t>
      </w:r>
      <w:r w:rsidR="00DE5D8F">
        <w:t>every</w:t>
      </w:r>
      <w:r>
        <w:t xml:space="preserve"> document reviewed </w:t>
      </w:r>
      <w:r w:rsidR="002276C2">
        <w:t xml:space="preserve">by Clayton Utz </w:t>
      </w:r>
      <w:r w:rsidR="00B05B77">
        <w:t>and assessed as either discoverable or not discoverable</w:t>
      </w:r>
      <w:r w:rsidR="00265D3B">
        <w:t xml:space="preserve">.  </w:t>
      </w:r>
      <w:r w:rsidR="00B05B77">
        <w:t xml:space="preserve">There was a system in </w:t>
      </w:r>
      <w:r w:rsidR="00E25D4E">
        <w:t>place,</w:t>
      </w:r>
      <w:r w:rsidR="00B05B77">
        <w:t xml:space="preserve"> and it was his role to oversee it</w:t>
      </w:r>
      <w:r w:rsidR="00265D3B">
        <w:t xml:space="preserve">.  </w:t>
      </w:r>
      <w:r w:rsidR="00D96C72">
        <w:t xml:space="preserve">Where </w:t>
      </w:r>
      <w:r w:rsidR="001B3548">
        <w:t>Mr </w:t>
      </w:r>
      <w:r w:rsidR="00D96C72">
        <w:t>D</w:t>
      </w:r>
      <w:r w:rsidR="00E03D35">
        <w:t>o</w:t>
      </w:r>
      <w:r w:rsidR="00D96C72">
        <w:t xml:space="preserve">nisi </w:t>
      </w:r>
      <w:r w:rsidR="00E03D35">
        <w:t xml:space="preserve">has </w:t>
      </w:r>
      <w:r w:rsidR="00D96C72">
        <w:t>mad</w:t>
      </w:r>
      <w:r w:rsidR="00E03D35">
        <w:t>e</w:t>
      </w:r>
      <w:r w:rsidR="00D96C72">
        <w:t xml:space="preserve"> </w:t>
      </w:r>
      <w:r w:rsidR="00E03D35">
        <w:t>generalised</w:t>
      </w:r>
      <w:r w:rsidR="00D96C72">
        <w:t xml:space="preserve"> </w:t>
      </w:r>
      <w:r w:rsidR="00E03D35">
        <w:t>assertions</w:t>
      </w:r>
      <w:r w:rsidR="00D96C72">
        <w:t xml:space="preserve"> that </w:t>
      </w:r>
      <w:r w:rsidR="00E03D35">
        <w:t>any</w:t>
      </w:r>
      <w:r w:rsidR="00D96C72">
        <w:t xml:space="preserve"> </w:t>
      </w:r>
      <w:r w:rsidR="002A245D">
        <w:t xml:space="preserve">mistakes relating to discovery were inadvertent, I do not consider (and </w:t>
      </w:r>
      <w:r w:rsidR="002034F4">
        <w:t>INPEX did not suggest</w:t>
      </w:r>
      <w:r w:rsidR="002A245D">
        <w:t>) that</w:t>
      </w:r>
      <w:r w:rsidR="00E843BB">
        <w:t xml:space="preserve"> </w:t>
      </w:r>
      <w:r w:rsidR="001B3548">
        <w:t>Mr </w:t>
      </w:r>
      <w:r w:rsidR="002A245D">
        <w:t>Donis</w:t>
      </w:r>
      <w:r w:rsidR="00B50853">
        <w:t>i</w:t>
      </w:r>
      <w:r w:rsidR="002A245D">
        <w:t xml:space="preserve"> </w:t>
      </w:r>
      <w:r w:rsidR="00B50853">
        <w:t xml:space="preserve">on behalf of ANIP </w:t>
      </w:r>
      <w:r w:rsidR="002A245D">
        <w:t>has</w:t>
      </w:r>
      <w:r w:rsidR="00E843BB">
        <w:t xml:space="preserve"> thereby </w:t>
      </w:r>
      <w:r w:rsidR="002A245D">
        <w:t xml:space="preserve">waived </w:t>
      </w:r>
      <w:r w:rsidR="00E843BB">
        <w:t>any privilege</w:t>
      </w:r>
      <w:r w:rsidR="002A245D">
        <w:t xml:space="preserve"> o</w:t>
      </w:r>
      <w:r w:rsidR="00E03D35">
        <w:t xml:space="preserve">ver </w:t>
      </w:r>
      <w:r w:rsidR="00B50853">
        <w:t xml:space="preserve">all </w:t>
      </w:r>
      <w:r w:rsidR="00643A76">
        <w:t xml:space="preserve">embedded </w:t>
      </w:r>
      <w:r w:rsidR="00E843BB">
        <w:t>communications</w:t>
      </w:r>
      <w:r w:rsidR="00E03D35">
        <w:t xml:space="preserve"> in Relativity as a whole</w:t>
      </w:r>
      <w:r w:rsidR="00265D3B">
        <w:t xml:space="preserve">.  </w:t>
      </w:r>
      <w:r w:rsidR="00D06106">
        <w:t>Having regard to the significance of the privilege, t</w:t>
      </w:r>
      <w:r w:rsidR="003B7B70">
        <w:t xml:space="preserve">he question of any waiver must be approached </w:t>
      </w:r>
      <w:r w:rsidR="004B2EDB">
        <w:t>with greater precision</w:t>
      </w:r>
      <w:r w:rsidR="001B3548">
        <w:t>.</w:t>
      </w:r>
    </w:p>
    <w:p w14:paraId="2E2CC4BB" w14:textId="34A45B16" w:rsidR="00513BA6" w:rsidRDefault="0009533E" w:rsidP="009D37E9">
      <w:pPr>
        <w:pStyle w:val="ParaNumbering"/>
      </w:pPr>
      <w:r>
        <w:t>However, w</w:t>
      </w:r>
      <w:r w:rsidR="00C91825">
        <w:t xml:space="preserve">here it is apparent that </w:t>
      </w:r>
      <w:r w:rsidR="001B3548">
        <w:t>Mr </w:t>
      </w:r>
      <w:r w:rsidR="002849EE">
        <w:t>Donisi</w:t>
      </w:r>
      <w:r w:rsidR="00C91825">
        <w:t xml:space="preserve"> </w:t>
      </w:r>
      <w:r w:rsidR="005F670A">
        <w:t xml:space="preserve">seeks to rely on </w:t>
      </w:r>
      <w:r w:rsidR="001C4A48">
        <w:t xml:space="preserve">particular document histories for the purpose of his evidence, </w:t>
      </w:r>
      <w:r w:rsidR="00FB237B">
        <w:t>the</w:t>
      </w:r>
      <w:r w:rsidR="00E843BB">
        <w:t xml:space="preserve"> position </w:t>
      </w:r>
      <w:r w:rsidR="00F022A3">
        <w:t>may well be</w:t>
      </w:r>
      <w:r w:rsidR="00E843BB">
        <w:t xml:space="preserve"> different</w:t>
      </w:r>
      <w:r w:rsidR="001B3548">
        <w:t>.</w:t>
      </w:r>
    </w:p>
    <w:p w14:paraId="5FFD537C" w14:textId="76A65643" w:rsidR="00107FB8" w:rsidRDefault="00525FD8" w:rsidP="009D37E9">
      <w:pPr>
        <w:pStyle w:val="ParaNumbering"/>
      </w:pPr>
      <w:r>
        <w:t>In such a case there may be inconsistency</w:t>
      </w:r>
      <w:r w:rsidR="00942116">
        <w:t xml:space="preserve"> </w:t>
      </w:r>
      <w:r w:rsidR="00345124">
        <w:t>(</w:t>
      </w:r>
      <w:r w:rsidR="00942116">
        <w:t>of the kind</w:t>
      </w:r>
      <w:r w:rsidR="00E56C5D">
        <w:t xml:space="preserve"> discussed</w:t>
      </w:r>
      <w:r w:rsidR="00942116">
        <w:t xml:space="preserve"> in </w:t>
      </w:r>
      <w:r w:rsidR="00942116" w:rsidRPr="00DE6EE4">
        <w:rPr>
          <w:i/>
          <w:iCs/>
        </w:rPr>
        <w:t>Mann v Carnell</w:t>
      </w:r>
      <w:r w:rsidR="00345124">
        <w:t>)</w:t>
      </w:r>
      <w:r w:rsidR="00942116">
        <w:t xml:space="preserve"> </w:t>
      </w:r>
      <w:r w:rsidR="001B7FC2">
        <w:t>between</w:t>
      </w:r>
      <w:r w:rsidR="00942116">
        <w:t xml:space="preserve"> </w:t>
      </w:r>
      <w:r w:rsidR="00FA46E7">
        <w:t>assertion</w:t>
      </w:r>
      <w:r w:rsidR="00AD2234">
        <w:t>s</w:t>
      </w:r>
      <w:r w:rsidR="00942116">
        <w:t xml:space="preserve"> </w:t>
      </w:r>
      <w:r w:rsidR="00AD2234">
        <w:t xml:space="preserve">made about a </w:t>
      </w:r>
      <w:r w:rsidR="00921B3A">
        <w:t>particular document</w:t>
      </w:r>
      <w:r w:rsidR="00FA4A50">
        <w:t>,</w:t>
      </w:r>
      <w:r w:rsidR="00AD2234">
        <w:t xml:space="preserve"> </w:t>
      </w:r>
      <w:r w:rsidR="00FA4A50">
        <w:t xml:space="preserve">or as to the reliability of a discovery process, </w:t>
      </w:r>
      <w:r w:rsidR="00AD2234">
        <w:t xml:space="preserve">or </w:t>
      </w:r>
      <w:r w:rsidR="00275355">
        <w:t xml:space="preserve">as to whether failure to disclose </w:t>
      </w:r>
      <w:r w:rsidR="00AD2234">
        <w:t>a</w:t>
      </w:r>
      <w:r w:rsidR="00942116">
        <w:t xml:space="preserve"> </w:t>
      </w:r>
      <w:r w:rsidR="00DE6EE4">
        <w:t>document</w:t>
      </w:r>
      <w:r w:rsidR="00942116">
        <w:t xml:space="preserve"> was inadvertent</w:t>
      </w:r>
      <w:r w:rsidR="009E067B">
        <w:t>,</w:t>
      </w:r>
      <w:r w:rsidR="00942116">
        <w:t xml:space="preserve"> a</w:t>
      </w:r>
      <w:r w:rsidR="00DE6EE4">
        <w:t>n</w:t>
      </w:r>
      <w:r w:rsidR="00942116">
        <w:t xml:space="preserve">d the </w:t>
      </w:r>
      <w:r w:rsidR="00C57FF3">
        <w:t>maintenance</w:t>
      </w:r>
      <w:r w:rsidR="00942116">
        <w:t xml:space="preserve"> </w:t>
      </w:r>
      <w:r w:rsidR="00C57FF3">
        <w:t>of confidentiality</w:t>
      </w:r>
      <w:r w:rsidR="00942116">
        <w:t xml:space="preserve"> </w:t>
      </w:r>
      <w:r w:rsidR="00DE6EE4">
        <w:t xml:space="preserve">of </w:t>
      </w:r>
      <w:r w:rsidR="00C57FF3">
        <w:t>aspects</w:t>
      </w:r>
      <w:r w:rsidR="00DE6EE4">
        <w:t xml:space="preserve"> of the </w:t>
      </w:r>
      <w:r w:rsidR="00FA46E7">
        <w:t xml:space="preserve">information </w:t>
      </w:r>
      <w:r w:rsidR="009E067B">
        <w:t xml:space="preserve">in document histories </w:t>
      </w:r>
      <w:r w:rsidR="00DE6EE4">
        <w:t xml:space="preserve">that are likely </w:t>
      </w:r>
      <w:r w:rsidR="00C57FF3">
        <w:t>to</w:t>
      </w:r>
      <w:r w:rsidR="00DE6EE4">
        <w:t xml:space="preserve"> bear upon the </w:t>
      </w:r>
      <w:r w:rsidR="00C57FF3">
        <w:t>soundness</w:t>
      </w:r>
      <w:r w:rsidR="00DE6EE4">
        <w:t xml:space="preserve"> of </w:t>
      </w:r>
      <w:r w:rsidR="00345124">
        <w:t>such</w:t>
      </w:r>
      <w:r w:rsidR="00DE6EE4">
        <w:t xml:space="preserve"> assertion</w:t>
      </w:r>
      <w:r w:rsidR="00933791">
        <w:t>s</w:t>
      </w:r>
      <w:r w:rsidR="00265D3B">
        <w:t xml:space="preserve">.  </w:t>
      </w:r>
      <w:r w:rsidR="00523A28">
        <w:t>The</w:t>
      </w:r>
      <w:r w:rsidR="00C57FF3">
        <w:t>re</w:t>
      </w:r>
      <w:r w:rsidR="00523A28">
        <w:t xml:space="preserve"> </w:t>
      </w:r>
      <w:r>
        <w:t>would be</w:t>
      </w:r>
      <w:r w:rsidR="00523A28">
        <w:t xml:space="preserve"> </w:t>
      </w:r>
      <w:r w:rsidR="00C57FF3">
        <w:t>unfairness</w:t>
      </w:r>
      <w:r w:rsidR="00523A28">
        <w:t xml:space="preserve"> in</w:t>
      </w:r>
      <w:r w:rsidR="007F6791">
        <w:t xml:space="preserve"> </w:t>
      </w:r>
      <w:r w:rsidR="00C57FF3">
        <w:t>forcing</w:t>
      </w:r>
      <w:r w:rsidR="007F6791">
        <w:t xml:space="preserve"> INPEX to meet </w:t>
      </w:r>
      <w:r w:rsidR="00C57FF3">
        <w:t>forensically</w:t>
      </w:r>
      <w:r w:rsidR="007F6791">
        <w:t xml:space="preserve"> </w:t>
      </w:r>
      <w:r w:rsidR="00D95A97">
        <w:t>such</w:t>
      </w:r>
      <w:r w:rsidR="007F6791">
        <w:t xml:space="preserve"> </w:t>
      </w:r>
      <w:r w:rsidR="00933791">
        <w:t xml:space="preserve">an </w:t>
      </w:r>
      <w:r w:rsidR="00C57FF3">
        <w:t>assertion</w:t>
      </w:r>
      <w:r w:rsidR="007F6791">
        <w:t xml:space="preserve"> without access to </w:t>
      </w:r>
      <w:r w:rsidR="007B17CC">
        <w:t xml:space="preserve">all </w:t>
      </w:r>
      <w:r w:rsidR="007F6791">
        <w:t xml:space="preserve">the </w:t>
      </w:r>
      <w:r w:rsidR="00136CC6">
        <w:t xml:space="preserve">information </w:t>
      </w:r>
      <w:r w:rsidR="00921B3A">
        <w:t>in a document history</w:t>
      </w:r>
      <w:r w:rsidR="007B17CC">
        <w:t xml:space="preserve"> relating to </w:t>
      </w:r>
      <w:r w:rsidR="00921B3A">
        <w:t xml:space="preserve">its </w:t>
      </w:r>
      <w:r w:rsidR="007B17CC">
        <w:t>discovery</w:t>
      </w:r>
      <w:r w:rsidR="00136CC6">
        <w:t>, including</w:t>
      </w:r>
      <w:r w:rsidR="003C2A20">
        <w:t xml:space="preserve"> relevantly</w:t>
      </w:r>
      <w:r w:rsidR="00136CC6">
        <w:t xml:space="preserve"> </w:t>
      </w:r>
      <w:r w:rsidR="00E553E3">
        <w:t>e</w:t>
      </w:r>
      <w:r w:rsidR="007F6791">
        <w:t xml:space="preserve">mbedded </w:t>
      </w:r>
      <w:r w:rsidR="00E553E3">
        <w:t>c</w:t>
      </w:r>
      <w:r w:rsidR="007F6791">
        <w:t>omments</w:t>
      </w:r>
      <w:r w:rsidR="00265D3B">
        <w:t xml:space="preserve">.  </w:t>
      </w:r>
      <w:r w:rsidR="00F23580">
        <w:t>In my view, l</w:t>
      </w:r>
      <w:r w:rsidR="00F227AD">
        <w:t xml:space="preserve">egal </w:t>
      </w:r>
      <w:r w:rsidR="00576AE1">
        <w:t xml:space="preserve">privilege in such </w:t>
      </w:r>
      <w:r w:rsidR="00E553E3">
        <w:t>e</w:t>
      </w:r>
      <w:r w:rsidR="00576AE1">
        <w:t xml:space="preserve">mbedded comments </w:t>
      </w:r>
      <w:r w:rsidR="00921B3A">
        <w:t>may well</w:t>
      </w:r>
      <w:r w:rsidR="00576AE1">
        <w:t xml:space="preserve"> be waived.</w:t>
      </w:r>
    </w:p>
    <w:p w14:paraId="1801EC7D" w14:textId="677D78A4" w:rsidR="00C33D70" w:rsidRDefault="00136CC6" w:rsidP="009D37E9">
      <w:pPr>
        <w:pStyle w:val="ParaNumbering"/>
      </w:pPr>
      <w:r>
        <w:t xml:space="preserve">I will now turn to the five </w:t>
      </w:r>
      <w:r w:rsidR="00F41A4F">
        <w:t>document histories</w:t>
      </w:r>
      <w:r w:rsidR="00C33D70">
        <w:t xml:space="preserve"> the subject of this application</w:t>
      </w:r>
      <w:r w:rsidR="001B3548">
        <w:t>.</w:t>
      </w:r>
    </w:p>
    <w:p w14:paraId="6FBA260F" w14:textId="7FEF13D0" w:rsidR="00C33D70" w:rsidRDefault="00C33D70" w:rsidP="00C33D70">
      <w:pPr>
        <w:pStyle w:val="Heading3"/>
      </w:pPr>
      <w:r>
        <w:t xml:space="preserve">What the </w:t>
      </w:r>
      <w:r w:rsidR="00127802">
        <w:t>d</w:t>
      </w:r>
      <w:r w:rsidR="00575E00">
        <w:t>ocument</w:t>
      </w:r>
      <w:r>
        <w:t xml:space="preserve"> </w:t>
      </w:r>
      <w:r w:rsidR="00127802">
        <w:t>h</w:t>
      </w:r>
      <w:r>
        <w:t>istories indicate</w:t>
      </w:r>
    </w:p>
    <w:p w14:paraId="5352F5C0" w14:textId="56E7FF8C" w:rsidR="00C33D70" w:rsidRDefault="00C33D70" w:rsidP="00C33D70">
      <w:pPr>
        <w:pStyle w:val="ParaNumbering"/>
      </w:pPr>
      <w:r>
        <w:t xml:space="preserve">INPEX seeks copies of certain </w:t>
      </w:r>
      <w:r w:rsidR="00127802">
        <w:t>d</w:t>
      </w:r>
      <w:r w:rsidR="00575E00">
        <w:t>ocument</w:t>
      </w:r>
      <w:r>
        <w:t xml:space="preserve"> </w:t>
      </w:r>
      <w:r w:rsidR="00127802">
        <w:t>h</w:t>
      </w:r>
      <w:r>
        <w:t>istories with unredacted Embedded Comments</w:t>
      </w:r>
      <w:r w:rsidR="00265D3B">
        <w:t xml:space="preserve">.  </w:t>
      </w:r>
      <w:r>
        <w:t>These document</w:t>
      </w:r>
      <w:r w:rsidR="00EF2A72">
        <w:t xml:space="preserve"> histories</w:t>
      </w:r>
      <w:r>
        <w:t xml:space="preserve"> (referred to in ANIP's submissions as audit logs) are listed with Bates document numbers in the interlocutory application</w:t>
      </w:r>
      <w:r w:rsidR="001B3548">
        <w:t xml:space="preserve"> </w:t>
      </w:r>
      <w:r>
        <w:t xml:space="preserve">and, including the annexure reference used in </w:t>
      </w:r>
      <w:r w:rsidR="00232F19">
        <w:t>Ms </w:t>
      </w:r>
      <w:r>
        <w:t>Sutherland's affidavit, are as follows</w:t>
      </w:r>
      <w:r w:rsidR="001B3548">
        <w:t>:</w:t>
      </w:r>
    </w:p>
    <w:p w14:paraId="30AA9A99" w14:textId="77777777" w:rsidR="00C33D70" w:rsidRDefault="00C33D70" w:rsidP="00C33D70">
      <w:pPr>
        <w:pStyle w:val="ListNo1"/>
      </w:pPr>
      <w:r w:rsidRPr="000350B7">
        <w:lastRenderedPageBreak/>
        <w:t>AKZ.135.001.1546_RH</w:t>
      </w:r>
      <w:r>
        <w:t xml:space="preserve"> [</w:t>
      </w:r>
      <w:r w:rsidRPr="006D6398">
        <w:rPr>
          <w:b/>
          <w:bCs/>
        </w:rPr>
        <w:t>KS-14</w:t>
      </w:r>
      <w:proofErr w:type="gramStart"/>
      <w:r>
        <w:t>]</w:t>
      </w:r>
      <w:r w:rsidRPr="000350B7">
        <w:t>;</w:t>
      </w:r>
      <w:proofErr w:type="gramEnd"/>
    </w:p>
    <w:p w14:paraId="1BF99CE0" w14:textId="77777777" w:rsidR="00C33D70" w:rsidRDefault="00C33D70" w:rsidP="00C33D70">
      <w:pPr>
        <w:pStyle w:val="ListNo1"/>
      </w:pPr>
      <w:r w:rsidRPr="000350B7">
        <w:t>AKZ.135.001.3058_RH</w:t>
      </w:r>
      <w:r>
        <w:t xml:space="preserve"> [</w:t>
      </w:r>
      <w:r w:rsidRPr="006D6398">
        <w:rPr>
          <w:b/>
          <w:bCs/>
        </w:rPr>
        <w:t>KS-15</w:t>
      </w:r>
      <w:proofErr w:type="gramStart"/>
      <w:r>
        <w:t>]</w:t>
      </w:r>
      <w:r w:rsidRPr="000350B7">
        <w:t>;</w:t>
      </w:r>
      <w:proofErr w:type="gramEnd"/>
    </w:p>
    <w:p w14:paraId="5204072E" w14:textId="77777777" w:rsidR="00C33D70" w:rsidRDefault="00C33D70" w:rsidP="00C33D70">
      <w:pPr>
        <w:pStyle w:val="ListNo1"/>
      </w:pPr>
      <w:r w:rsidRPr="000350B7">
        <w:t>CTRL_01679149_RH</w:t>
      </w:r>
      <w:r>
        <w:t xml:space="preserve"> [</w:t>
      </w:r>
      <w:r w:rsidRPr="006D6398">
        <w:rPr>
          <w:b/>
          <w:bCs/>
        </w:rPr>
        <w:t>KS-13</w:t>
      </w:r>
      <w:proofErr w:type="gramStart"/>
      <w:r>
        <w:t>]</w:t>
      </w:r>
      <w:r w:rsidRPr="000350B7">
        <w:t>;</w:t>
      </w:r>
      <w:proofErr w:type="gramEnd"/>
    </w:p>
    <w:p w14:paraId="7F944653" w14:textId="77777777" w:rsidR="00C33D70" w:rsidRDefault="00C33D70" w:rsidP="00C33D70">
      <w:pPr>
        <w:pStyle w:val="ListNo1"/>
      </w:pPr>
      <w:r w:rsidRPr="000350B7">
        <w:t>CTRL_01672828_RH</w:t>
      </w:r>
      <w:r>
        <w:t xml:space="preserve"> [</w:t>
      </w:r>
      <w:r w:rsidRPr="006D6398">
        <w:rPr>
          <w:b/>
          <w:bCs/>
        </w:rPr>
        <w:t>KS-16</w:t>
      </w:r>
      <w:r>
        <w:t>]; and</w:t>
      </w:r>
    </w:p>
    <w:p w14:paraId="765ADD74" w14:textId="69D1471D" w:rsidR="00C33D70" w:rsidRPr="000350B7" w:rsidRDefault="00C33D70" w:rsidP="00C33D70">
      <w:pPr>
        <w:pStyle w:val="ListNo1"/>
      </w:pPr>
      <w:r w:rsidRPr="000350B7">
        <w:t>CTRL_01679151_RH</w:t>
      </w:r>
      <w:r>
        <w:t xml:space="preserve"> [</w:t>
      </w:r>
      <w:r w:rsidRPr="006D6398">
        <w:rPr>
          <w:b/>
          <w:bCs/>
        </w:rPr>
        <w:t>KS-17</w:t>
      </w:r>
      <w:r>
        <w:t>]</w:t>
      </w:r>
      <w:r w:rsidR="001B3548">
        <w:t>.</w:t>
      </w:r>
    </w:p>
    <w:p w14:paraId="64F12716" w14:textId="7E4CF3EC" w:rsidR="00BF39FE" w:rsidRDefault="00BF39FE" w:rsidP="00BF39FE">
      <w:pPr>
        <w:pStyle w:val="Heading4"/>
      </w:pPr>
      <w:r>
        <w:t>KS-14</w:t>
      </w:r>
    </w:p>
    <w:p w14:paraId="16EE9C5C" w14:textId="7AC4CA1C" w:rsidR="00C33D70" w:rsidRDefault="00C33D70" w:rsidP="00C33D70">
      <w:pPr>
        <w:pStyle w:val="ParaNumbering"/>
        <w:rPr>
          <w:szCs w:val="24"/>
        </w:rPr>
      </w:pPr>
      <w:r>
        <w:rPr>
          <w:szCs w:val="24"/>
        </w:rPr>
        <w:t>K</w:t>
      </w:r>
      <w:r w:rsidR="008A5D70">
        <w:rPr>
          <w:szCs w:val="24"/>
        </w:rPr>
        <w:t>S</w:t>
      </w:r>
      <w:r>
        <w:rPr>
          <w:szCs w:val="24"/>
        </w:rPr>
        <w:t xml:space="preserve">-14 is a </w:t>
      </w:r>
      <w:r w:rsidR="00732C4F">
        <w:rPr>
          <w:szCs w:val="24"/>
        </w:rPr>
        <w:t>document history</w:t>
      </w:r>
      <w:r>
        <w:rPr>
          <w:szCs w:val="24"/>
        </w:rPr>
        <w:t xml:space="preserve"> related to a document titled 'The </w:t>
      </w:r>
      <w:r w:rsidRPr="00DA3EA0">
        <w:rPr>
          <w:szCs w:val="24"/>
        </w:rPr>
        <w:t xml:space="preserve">Spotlight on Performance </w:t>
      </w:r>
      <w:r>
        <w:rPr>
          <w:szCs w:val="24"/>
        </w:rPr>
        <w:t>Coatings PowerPoint' dated 2 December 2010</w:t>
      </w:r>
      <w:r w:rsidR="00265D3B">
        <w:rPr>
          <w:szCs w:val="24"/>
        </w:rPr>
        <w:t xml:space="preserve">.  </w:t>
      </w:r>
      <w:r w:rsidR="00BE3601">
        <w:rPr>
          <w:szCs w:val="24"/>
        </w:rPr>
        <w:t>A</w:t>
      </w:r>
      <w:r w:rsidR="00200C4A">
        <w:rPr>
          <w:szCs w:val="24"/>
        </w:rPr>
        <w:t xml:space="preserve">ccording to ANIP, </w:t>
      </w:r>
      <w:r w:rsidR="00EC54C9">
        <w:rPr>
          <w:szCs w:val="24"/>
        </w:rPr>
        <w:t>this</w:t>
      </w:r>
      <w:r w:rsidR="00535304">
        <w:rPr>
          <w:szCs w:val="24"/>
        </w:rPr>
        <w:t xml:space="preserve"> document is now </w:t>
      </w:r>
      <w:r w:rsidR="00B97EB8" w:rsidRPr="00C21C38">
        <w:rPr>
          <w:b/>
          <w:bCs/>
          <w:szCs w:val="24"/>
        </w:rPr>
        <w:t>exhibit 9422</w:t>
      </w:r>
      <w:r w:rsidR="00265D3B">
        <w:rPr>
          <w:szCs w:val="24"/>
        </w:rPr>
        <w:t xml:space="preserve">.  </w:t>
      </w:r>
      <w:r>
        <w:rPr>
          <w:szCs w:val="24"/>
        </w:rPr>
        <w:t>KS-14 indicates that the document was coded by a Clayton Utz employee as discoverable on 24 March 2024</w:t>
      </w:r>
      <w:r w:rsidR="00265D3B">
        <w:rPr>
          <w:szCs w:val="24"/>
        </w:rPr>
        <w:t xml:space="preserve">.  </w:t>
      </w:r>
      <w:r>
        <w:rPr>
          <w:szCs w:val="24"/>
        </w:rPr>
        <w:t>Two days later that status was 'unset' and coded</w:t>
      </w:r>
      <w:r w:rsidR="000B3C99">
        <w:rPr>
          <w:szCs w:val="24"/>
        </w:rPr>
        <w:t xml:space="preserve"> as</w:t>
      </w:r>
      <w:r>
        <w:rPr>
          <w:szCs w:val="24"/>
        </w:rPr>
        <w:t xml:space="preserve"> 'refer', and a comment was added</w:t>
      </w:r>
      <w:r w:rsidR="00265D3B">
        <w:rPr>
          <w:szCs w:val="24"/>
        </w:rPr>
        <w:t xml:space="preserve">.  </w:t>
      </w:r>
      <w:r>
        <w:rPr>
          <w:szCs w:val="24"/>
        </w:rPr>
        <w:t>On 2 April 2024 it was coded as not discoverable, and a comment was included</w:t>
      </w:r>
      <w:r w:rsidR="00265D3B">
        <w:rPr>
          <w:szCs w:val="24"/>
        </w:rPr>
        <w:t xml:space="preserve">.  </w:t>
      </w:r>
      <w:r>
        <w:rPr>
          <w:szCs w:val="24"/>
        </w:rPr>
        <w:t>The comments are redacted</w:t>
      </w:r>
      <w:r w:rsidR="00265D3B">
        <w:rPr>
          <w:szCs w:val="24"/>
        </w:rPr>
        <w:t xml:space="preserve">.  </w:t>
      </w:r>
      <w:r>
        <w:rPr>
          <w:szCs w:val="24"/>
        </w:rPr>
        <w:t>The document was discovered on 9 August 2024</w:t>
      </w:r>
      <w:r w:rsidR="001B3548">
        <w:rPr>
          <w:szCs w:val="24"/>
        </w:rPr>
        <w:t>.</w:t>
      </w:r>
    </w:p>
    <w:p w14:paraId="35D4DDA2" w14:textId="6224255E" w:rsidR="006B6B05" w:rsidRDefault="00473731" w:rsidP="00C33D70">
      <w:pPr>
        <w:pStyle w:val="ParaNumbering"/>
        <w:rPr>
          <w:szCs w:val="24"/>
        </w:rPr>
      </w:pPr>
      <w:r>
        <w:rPr>
          <w:szCs w:val="24"/>
        </w:rPr>
        <w:t xml:space="preserve">On </w:t>
      </w:r>
      <w:r w:rsidR="008A5C3C">
        <w:rPr>
          <w:szCs w:val="24"/>
        </w:rPr>
        <w:t>being taken to</w:t>
      </w:r>
      <w:r>
        <w:rPr>
          <w:szCs w:val="24"/>
        </w:rPr>
        <w:t xml:space="preserve"> </w:t>
      </w:r>
      <w:r w:rsidR="00C21C38">
        <w:rPr>
          <w:szCs w:val="24"/>
        </w:rPr>
        <w:t>exhibit 9422</w:t>
      </w:r>
      <w:r>
        <w:rPr>
          <w:szCs w:val="24"/>
        </w:rPr>
        <w:t xml:space="preserve"> at </w:t>
      </w:r>
      <w:r w:rsidR="006B6B05">
        <w:rPr>
          <w:szCs w:val="24"/>
        </w:rPr>
        <w:t>the cross-</w:t>
      </w:r>
      <w:r>
        <w:rPr>
          <w:szCs w:val="24"/>
        </w:rPr>
        <w:t>examination</w:t>
      </w:r>
      <w:r w:rsidR="006B6B05">
        <w:rPr>
          <w:szCs w:val="24"/>
        </w:rPr>
        <w:t xml:space="preserve"> hearing</w:t>
      </w:r>
      <w:r w:rsidR="002F1B52">
        <w:rPr>
          <w:szCs w:val="24"/>
        </w:rPr>
        <w:t xml:space="preserve">, </w:t>
      </w:r>
      <w:r w:rsidR="001B3548">
        <w:rPr>
          <w:szCs w:val="24"/>
        </w:rPr>
        <w:t>Mr </w:t>
      </w:r>
      <w:r w:rsidR="002F1B52">
        <w:rPr>
          <w:szCs w:val="24"/>
        </w:rPr>
        <w:t>Donisi accepted</w:t>
      </w:r>
      <w:r w:rsidR="006B6B05">
        <w:rPr>
          <w:szCs w:val="24"/>
        </w:rPr>
        <w:t xml:space="preserve"> that the </w:t>
      </w:r>
      <w:r>
        <w:rPr>
          <w:szCs w:val="24"/>
        </w:rPr>
        <w:t>document</w:t>
      </w:r>
      <w:r w:rsidR="006B6B05">
        <w:rPr>
          <w:szCs w:val="24"/>
        </w:rPr>
        <w:t xml:space="preserve"> should have </w:t>
      </w:r>
      <w:r>
        <w:rPr>
          <w:szCs w:val="24"/>
        </w:rPr>
        <w:t>b</w:t>
      </w:r>
      <w:r w:rsidR="006B6B05">
        <w:rPr>
          <w:szCs w:val="24"/>
        </w:rPr>
        <w:t xml:space="preserve">een </w:t>
      </w:r>
      <w:r>
        <w:rPr>
          <w:szCs w:val="24"/>
        </w:rPr>
        <w:t>discovered</w:t>
      </w:r>
      <w:r w:rsidR="00265D3B">
        <w:rPr>
          <w:szCs w:val="24"/>
        </w:rPr>
        <w:t xml:space="preserve">.  </w:t>
      </w:r>
      <w:r w:rsidR="002F1B52">
        <w:rPr>
          <w:szCs w:val="24"/>
        </w:rPr>
        <w:t xml:space="preserve">However, he did not refer to the document in </w:t>
      </w:r>
      <w:r w:rsidR="00310DD2">
        <w:rPr>
          <w:szCs w:val="24"/>
        </w:rPr>
        <w:t>Donisi</w:t>
      </w:r>
      <w:r w:rsidR="003B2EB8">
        <w:rPr>
          <w:szCs w:val="24"/>
        </w:rPr>
        <w:t> </w:t>
      </w:r>
      <w:r w:rsidR="00310DD2">
        <w:rPr>
          <w:szCs w:val="24"/>
        </w:rPr>
        <w:t xml:space="preserve">3 or Donisi 4 and he did not refer to Relativity or the </w:t>
      </w:r>
      <w:r w:rsidR="003B2EB8">
        <w:rPr>
          <w:szCs w:val="24"/>
        </w:rPr>
        <w:t>d</w:t>
      </w:r>
      <w:r w:rsidR="00310DD2">
        <w:rPr>
          <w:szCs w:val="24"/>
        </w:rPr>
        <w:t xml:space="preserve">ocument </w:t>
      </w:r>
      <w:r w:rsidR="003B2EB8">
        <w:rPr>
          <w:szCs w:val="24"/>
        </w:rPr>
        <w:t>h</w:t>
      </w:r>
      <w:r w:rsidR="00310DD2">
        <w:rPr>
          <w:szCs w:val="24"/>
        </w:rPr>
        <w:t>istory when giving his evidence at the cross-examination hearing</w:t>
      </w:r>
      <w:r w:rsidR="00265D3B">
        <w:rPr>
          <w:szCs w:val="24"/>
        </w:rPr>
        <w:t xml:space="preserve">.  </w:t>
      </w:r>
      <w:r w:rsidR="0040613D">
        <w:rPr>
          <w:szCs w:val="24"/>
        </w:rPr>
        <w:t xml:space="preserve">There is no </w:t>
      </w:r>
      <w:r w:rsidR="001B0B1C">
        <w:rPr>
          <w:szCs w:val="24"/>
        </w:rPr>
        <w:t>evidence</w:t>
      </w:r>
      <w:r w:rsidR="0040613D">
        <w:rPr>
          <w:szCs w:val="24"/>
        </w:rPr>
        <w:t xml:space="preserve"> that he reviewed th</w:t>
      </w:r>
      <w:r w:rsidR="001B0B1C">
        <w:rPr>
          <w:szCs w:val="24"/>
        </w:rPr>
        <w:t>is</w:t>
      </w:r>
      <w:r w:rsidR="0040613D">
        <w:rPr>
          <w:szCs w:val="24"/>
        </w:rPr>
        <w:t xml:space="preserve"> </w:t>
      </w:r>
      <w:r w:rsidR="00732C4F">
        <w:rPr>
          <w:szCs w:val="24"/>
        </w:rPr>
        <w:t>d</w:t>
      </w:r>
      <w:r w:rsidR="001B0B1C">
        <w:rPr>
          <w:szCs w:val="24"/>
        </w:rPr>
        <w:t xml:space="preserve">ocument </w:t>
      </w:r>
      <w:r w:rsidR="00732C4F">
        <w:rPr>
          <w:szCs w:val="24"/>
        </w:rPr>
        <w:t>h</w:t>
      </w:r>
      <w:r w:rsidR="001B0B1C">
        <w:rPr>
          <w:szCs w:val="24"/>
        </w:rPr>
        <w:t>istory in Relativity</w:t>
      </w:r>
      <w:r w:rsidR="00265D3B">
        <w:rPr>
          <w:szCs w:val="24"/>
        </w:rPr>
        <w:t xml:space="preserve">.  </w:t>
      </w:r>
      <w:r w:rsidR="00310DD2">
        <w:rPr>
          <w:szCs w:val="24"/>
        </w:rPr>
        <w:t xml:space="preserve">In those circumstances, I am not satisfied that there has been a waiver through </w:t>
      </w:r>
      <w:r w:rsidR="001B3548">
        <w:rPr>
          <w:szCs w:val="24"/>
        </w:rPr>
        <w:t>Mr </w:t>
      </w:r>
      <w:r w:rsidR="00310DD2">
        <w:rPr>
          <w:szCs w:val="24"/>
        </w:rPr>
        <w:t>Donisi'</w:t>
      </w:r>
      <w:r w:rsidR="00A22A0F">
        <w:rPr>
          <w:szCs w:val="24"/>
        </w:rPr>
        <w:t>s</w:t>
      </w:r>
      <w:r w:rsidR="00310DD2">
        <w:rPr>
          <w:szCs w:val="24"/>
        </w:rPr>
        <w:t xml:space="preserve"> conduct of any privilege in the Embedded Comments.</w:t>
      </w:r>
    </w:p>
    <w:p w14:paraId="6D4900A0" w14:textId="657BDC70" w:rsidR="00BF39FE" w:rsidRDefault="00BF39FE" w:rsidP="00BF39FE">
      <w:pPr>
        <w:pStyle w:val="Heading4"/>
      </w:pPr>
      <w:r>
        <w:t>KS-15</w:t>
      </w:r>
    </w:p>
    <w:p w14:paraId="5AF13A94" w14:textId="3FAD0D10" w:rsidR="00C33D70" w:rsidRDefault="00C33D70" w:rsidP="00C33D70">
      <w:pPr>
        <w:pStyle w:val="ParaNumbering"/>
        <w:rPr>
          <w:szCs w:val="24"/>
        </w:rPr>
      </w:pPr>
      <w:r>
        <w:rPr>
          <w:szCs w:val="24"/>
        </w:rPr>
        <w:t xml:space="preserve">KS-15 is a </w:t>
      </w:r>
      <w:r w:rsidR="00732C4F">
        <w:rPr>
          <w:szCs w:val="24"/>
        </w:rPr>
        <w:t>document history</w:t>
      </w:r>
      <w:r>
        <w:rPr>
          <w:szCs w:val="24"/>
        </w:rPr>
        <w:t xml:space="preserve"> for the document title</w:t>
      </w:r>
      <w:r w:rsidRPr="00DA3EA0">
        <w:rPr>
          <w:szCs w:val="24"/>
        </w:rPr>
        <w:t xml:space="preserve">d 'BA </w:t>
      </w:r>
      <w:r>
        <w:rPr>
          <w:szCs w:val="24"/>
        </w:rPr>
        <w:t>P</w:t>
      </w:r>
      <w:r w:rsidRPr="00DA3EA0">
        <w:rPr>
          <w:szCs w:val="24"/>
        </w:rPr>
        <w:t>erformance Coatings Rulebook</w:t>
      </w:r>
      <w:r w:rsidR="00265DCB">
        <w:rPr>
          <w:szCs w:val="24"/>
        </w:rPr>
        <w:t xml:space="preserve"> </w:t>
      </w:r>
      <w:proofErr w:type="gramStart"/>
      <w:r w:rsidR="00265DCB">
        <w:rPr>
          <w:szCs w:val="24"/>
        </w:rPr>
        <w:t xml:space="preserve">- </w:t>
      </w:r>
      <w:r w:rsidRPr="00DA3EA0">
        <w:rPr>
          <w:szCs w:val="24"/>
        </w:rPr>
        <w:t xml:space="preserve"> Third</w:t>
      </w:r>
      <w:proofErr w:type="gramEnd"/>
      <w:r w:rsidRPr="00DA3EA0">
        <w:rPr>
          <w:szCs w:val="24"/>
        </w:rPr>
        <w:t xml:space="preserve"> Draft'</w:t>
      </w:r>
      <w:r w:rsidR="00265D3B">
        <w:rPr>
          <w:szCs w:val="24"/>
        </w:rPr>
        <w:t xml:space="preserve">.  </w:t>
      </w:r>
      <w:r w:rsidR="00BE3601">
        <w:rPr>
          <w:szCs w:val="24"/>
        </w:rPr>
        <w:t xml:space="preserve">According to ANIP, the document is now </w:t>
      </w:r>
      <w:r w:rsidR="00BE3601" w:rsidRPr="00BE3601">
        <w:rPr>
          <w:b/>
          <w:bCs/>
          <w:szCs w:val="24"/>
        </w:rPr>
        <w:t>exhibit 9425</w:t>
      </w:r>
      <w:r w:rsidR="00265D3B">
        <w:rPr>
          <w:szCs w:val="24"/>
        </w:rPr>
        <w:t xml:space="preserve">.  </w:t>
      </w:r>
      <w:r w:rsidRPr="00DA3EA0">
        <w:rPr>
          <w:szCs w:val="24"/>
        </w:rPr>
        <w:t>It was</w:t>
      </w:r>
      <w:r>
        <w:rPr>
          <w:szCs w:val="24"/>
        </w:rPr>
        <w:t xml:space="preserve"> originally coded as discoverable on 15 March 2024 (by a paralegal) and on 22 March 2024</w:t>
      </w:r>
      <w:r w:rsidR="00B405E4">
        <w:rPr>
          <w:szCs w:val="24"/>
        </w:rPr>
        <w:t xml:space="preserve"> as confidential</w:t>
      </w:r>
      <w:r>
        <w:rPr>
          <w:szCs w:val="24"/>
        </w:rPr>
        <w:t xml:space="preserve"> (by</w:t>
      </w:r>
      <w:r w:rsidR="0087717C">
        <w:rPr>
          <w:szCs w:val="24"/>
        </w:rPr>
        <w:t> </w:t>
      </w:r>
      <w:r>
        <w:rPr>
          <w:szCs w:val="24"/>
        </w:rPr>
        <w:t xml:space="preserve">a senior associate), and then 'unset' on 22 March 2024 and coded as not discoverable after a review by </w:t>
      </w:r>
      <w:r w:rsidR="001B3548">
        <w:rPr>
          <w:szCs w:val="24"/>
        </w:rPr>
        <w:t>Mr </w:t>
      </w:r>
      <w:r>
        <w:rPr>
          <w:szCs w:val="24"/>
        </w:rPr>
        <w:t>Donisi</w:t>
      </w:r>
      <w:r w:rsidR="00265D3B">
        <w:rPr>
          <w:szCs w:val="24"/>
        </w:rPr>
        <w:t xml:space="preserve">.  </w:t>
      </w:r>
      <w:r>
        <w:rPr>
          <w:szCs w:val="24"/>
        </w:rPr>
        <w:t>A comment was added on 28 March 2024 which is redacted</w:t>
      </w:r>
      <w:r w:rsidR="00265D3B">
        <w:rPr>
          <w:szCs w:val="24"/>
        </w:rPr>
        <w:t xml:space="preserve">.  </w:t>
      </w:r>
      <w:r>
        <w:rPr>
          <w:szCs w:val="24"/>
        </w:rPr>
        <w:t>The document was discovered on 9 August 2024.</w:t>
      </w:r>
    </w:p>
    <w:p w14:paraId="7E80DBAE" w14:textId="41A1AC7C" w:rsidR="00FD0964" w:rsidRPr="00A22A0F" w:rsidRDefault="002102E3" w:rsidP="00A22A0F">
      <w:pPr>
        <w:pStyle w:val="ParaNumbering"/>
      </w:pPr>
      <w:r>
        <w:t xml:space="preserve">On being taken to exhibit 9425 </w:t>
      </w:r>
      <w:r w:rsidR="00D02756">
        <w:t>during</w:t>
      </w:r>
      <w:r>
        <w:t xml:space="preserve"> the cross-examination hearing, </w:t>
      </w:r>
      <w:r w:rsidR="001B3548">
        <w:t>Mr </w:t>
      </w:r>
      <w:r>
        <w:t xml:space="preserve">Donisi accepted that the document </w:t>
      </w:r>
      <w:r w:rsidR="00D02756">
        <w:t>is a relevant document</w:t>
      </w:r>
      <w:r w:rsidR="00265D3B">
        <w:t xml:space="preserve">.  </w:t>
      </w:r>
      <w:r w:rsidR="001D055D">
        <w:t xml:space="preserve">He also gave general evidence about having reviewed ANIP's discovery process after </w:t>
      </w:r>
      <w:r w:rsidR="001D055D" w:rsidRPr="001D055D">
        <w:rPr>
          <w:i/>
          <w:iCs/>
        </w:rPr>
        <w:t>INPEX (No 3)</w:t>
      </w:r>
      <w:r w:rsidR="001D055D">
        <w:t xml:space="preserve"> was published</w:t>
      </w:r>
      <w:r w:rsidR="00265D3B">
        <w:t xml:space="preserve">.  </w:t>
      </w:r>
      <w:r w:rsidR="001D055D">
        <w:t xml:space="preserve">However, </w:t>
      </w:r>
      <w:r w:rsidR="001B3548">
        <w:t>Mr </w:t>
      </w:r>
      <w:r w:rsidR="001D055D">
        <w:t>Donisi</w:t>
      </w:r>
      <w:r>
        <w:t xml:space="preserve"> did not refer to the document in Donisi 3 or Donisi 4 and he did not refer to Relativity or the </w:t>
      </w:r>
      <w:r w:rsidR="00732C4F">
        <w:t>d</w:t>
      </w:r>
      <w:r>
        <w:t xml:space="preserve">ocument </w:t>
      </w:r>
      <w:r w:rsidR="00732C4F">
        <w:t>h</w:t>
      </w:r>
      <w:r>
        <w:t xml:space="preserve">istory when giving his evidence </w:t>
      </w:r>
      <w:r w:rsidR="00D02756">
        <w:t xml:space="preserve">about this document </w:t>
      </w:r>
      <w:r w:rsidR="001D055D">
        <w:t>during</w:t>
      </w:r>
      <w:r>
        <w:t xml:space="preserve"> the cross-examination hearing</w:t>
      </w:r>
      <w:r w:rsidR="00265D3B">
        <w:t xml:space="preserve">.  </w:t>
      </w:r>
      <w:r>
        <w:t xml:space="preserve">There is no evidence that he reviewed this </w:t>
      </w:r>
      <w:r w:rsidR="00732C4F">
        <w:t>document history</w:t>
      </w:r>
      <w:r>
        <w:t xml:space="preserve"> in Relativity</w:t>
      </w:r>
      <w:r w:rsidR="00FA4031">
        <w:t xml:space="preserve"> or had knowledge of </w:t>
      </w:r>
      <w:r w:rsidR="00FA4031">
        <w:lastRenderedPageBreak/>
        <w:t>it</w:t>
      </w:r>
      <w:r w:rsidR="00265D3B">
        <w:t xml:space="preserve">.  </w:t>
      </w:r>
      <w:r>
        <w:t xml:space="preserve">In those circumstances, I am not satisfied that there has been a waiver through </w:t>
      </w:r>
      <w:r w:rsidR="001B3548">
        <w:t>Mr </w:t>
      </w:r>
      <w:r>
        <w:t>Donisi'</w:t>
      </w:r>
      <w:r w:rsidR="00A22A0F">
        <w:t>s</w:t>
      </w:r>
      <w:r>
        <w:t xml:space="preserve"> conduct of any privilege in the Embedded Comments.</w:t>
      </w:r>
    </w:p>
    <w:p w14:paraId="21FDDBCA" w14:textId="2D5B91EC" w:rsidR="00BF39FE" w:rsidRPr="00BF39FE" w:rsidRDefault="00BF39FE" w:rsidP="00BF39FE">
      <w:pPr>
        <w:pStyle w:val="Heading4"/>
        <w:rPr>
          <w:szCs w:val="20"/>
        </w:rPr>
      </w:pPr>
      <w:r>
        <w:t>KS-13</w:t>
      </w:r>
    </w:p>
    <w:p w14:paraId="736132B4" w14:textId="4FD8E975" w:rsidR="00C33D70" w:rsidRDefault="00A22A0F" w:rsidP="00C33D70">
      <w:pPr>
        <w:pStyle w:val="ParaNumbering"/>
      </w:pPr>
      <w:r>
        <w:rPr>
          <w:szCs w:val="24"/>
        </w:rPr>
        <w:t xml:space="preserve">The situation is </w:t>
      </w:r>
      <w:r w:rsidR="002A03A0">
        <w:rPr>
          <w:szCs w:val="24"/>
        </w:rPr>
        <w:t xml:space="preserve">somewhat </w:t>
      </w:r>
      <w:r>
        <w:rPr>
          <w:szCs w:val="24"/>
        </w:rPr>
        <w:t xml:space="preserve">different in regard to </w:t>
      </w:r>
      <w:r w:rsidR="00C33D70">
        <w:rPr>
          <w:szCs w:val="24"/>
        </w:rPr>
        <w:t>KS-13</w:t>
      </w:r>
      <w:r w:rsidR="00265D3B">
        <w:rPr>
          <w:szCs w:val="24"/>
        </w:rPr>
        <w:t xml:space="preserve">.  </w:t>
      </w:r>
      <w:r>
        <w:rPr>
          <w:szCs w:val="24"/>
        </w:rPr>
        <w:t>This</w:t>
      </w:r>
      <w:r w:rsidR="00C33D70">
        <w:rPr>
          <w:szCs w:val="24"/>
        </w:rPr>
        <w:t xml:space="preserve"> is a </w:t>
      </w:r>
      <w:r w:rsidR="00732C4F">
        <w:rPr>
          <w:szCs w:val="24"/>
        </w:rPr>
        <w:t>document history</w:t>
      </w:r>
      <w:r w:rsidR="00C33D70">
        <w:rPr>
          <w:szCs w:val="24"/>
        </w:rPr>
        <w:t xml:space="preserve"> related to the </w:t>
      </w:r>
      <w:r w:rsidR="00C33D70" w:rsidRPr="009D7533">
        <w:rPr>
          <w:b/>
          <w:bCs/>
          <w:szCs w:val="24"/>
        </w:rPr>
        <w:t>Ward letter</w:t>
      </w:r>
      <w:r w:rsidR="00C33D70">
        <w:rPr>
          <w:b/>
          <w:bCs/>
          <w:szCs w:val="24"/>
        </w:rPr>
        <w:t xml:space="preserve"> </w:t>
      </w:r>
      <w:r w:rsidR="00C33D70" w:rsidRPr="009D7533">
        <w:rPr>
          <w:szCs w:val="24"/>
        </w:rPr>
        <w:t>dated 1 March 2017</w:t>
      </w:r>
      <w:r w:rsidR="00265D3B">
        <w:rPr>
          <w:szCs w:val="24"/>
        </w:rPr>
        <w:t xml:space="preserve">.  </w:t>
      </w:r>
      <w:r w:rsidR="00C33D70">
        <w:rPr>
          <w:szCs w:val="24"/>
        </w:rPr>
        <w:t xml:space="preserve">In </w:t>
      </w:r>
      <w:r w:rsidR="00C33D70">
        <w:rPr>
          <w:i/>
          <w:iCs/>
        </w:rPr>
        <w:t>INPEX</w:t>
      </w:r>
      <w:r w:rsidR="00C33D70" w:rsidRPr="002C778F">
        <w:rPr>
          <w:i/>
          <w:iCs/>
        </w:rPr>
        <w:t xml:space="preserve"> (No 3)</w:t>
      </w:r>
      <w:r w:rsidR="00C33D70">
        <w:rPr>
          <w:szCs w:val="24"/>
        </w:rPr>
        <w:t xml:space="preserve"> I explained </w:t>
      </w:r>
      <w:r>
        <w:rPr>
          <w:szCs w:val="24"/>
        </w:rPr>
        <w:t>the</w:t>
      </w:r>
      <w:r w:rsidR="00C33D70">
        <w:rPr>
          <w:szCs w:val="24"/>
        </w:rPr>
        <w:t xml:space="preserve"> relevance</w:t>
      </w:r>
      <w:r>
        <w:rPr>
          <w:szCs w:val="24"/>
        </w:rPr>
        <w:t xml:space="preserve"> of the Ward letter</w:t>
      </w:r>
      <w:r w:rsidR="00C33D70">
        <w:rPr>
          <w:szCs w:val="24"/>
        </w:rPr>
        <w:t xml:space="preserve"> </w:t>
      </w:r>
      <w:r w:rsidR="005D3274">
        <w:rPr>
          <w:szCs w:val="24"/>
        </w:rPr>
        <w:t xml:space="preserve">to the matters in issue in the proceedings </w:t>
      </w:r>
      <w:r w:rsidR="00C33D70">
        <w:rPr>
          <w:szCs w:val="24"/>
        </w:rPr>
        <w:t>at [34]-[36]</w:t>
      </w:r>
      <w:r w:rsidR="00265D3B">
        <w:rPr>
          <w:szCs w:val="24"/>
        </w:rPr>
        <w:t>.</w:t>
      </w:r>
    </w:p>
    <w:p w14:paraId="72E315A7" w14:textId="09E136DE" w:rsidR="00C33D70" w:rsidRDefault="00C33D70" w:rsidP="00C33D70">
      <w:pPr>
        <w:pStyle w:val="ParaNumbering"/>
      </w:pPr>
      <w:r>
        <w:t xml:space="preserve">In </w:t>
      </w:r>
      <w:r w:rsidRPr="0001190E">
        <w:t>Donisi 3</w:t>
      </w:r>
      <w:r>
        <w:t xml:space="preserve">, </w:t>
      </w:r>
      <w:r w:rsidR="001B3548">
        <w:t>Mr </w:t>
      </w:r>
      <w:r>
        <w:t xml:space="preserve">Donisi deposed at </w:t>
      </w:r>
      <w:r w:rsidR="00732C4F">
        <w:t>para </w:t>
      </w:r>
      <w:r>
        <w:t>43</w:t>
      </w:r>
      <w:r w:rsidR="001B3548">
        <w:t>:</w:t>
      </w:r>
    </w:p>
    <w:p w14:paraId="11C2E71E" w14:textId="41AFB3BA" w:rsidR="00A469FA" w:rsidRPr="00C91EBC" w:rsidRDefault="008C3962" w:rsidP="00732C4F">
      <w:pPr>
        <w:pStyle w:val="Quote1"/>
        <w:spacing w:after="360"/>
      </w:pPr>
      <w:r>
        <w:t>There are 20 copies of the 1 March Ward Letter</w:t>
      </w:r>
      <w:r w:rsidR="00ED05A7">
        <w:t xml:space="preserve"> </w:t>
      </w:r>
      <w:r>
        <w:t xml:space="preserve">stored in the </w:t>
      </w:r>
      <w:r w:rsidR="00ED05A7">
        <w:t>Relativity</w:t>
      </w:r>
      <w:r>
        <w:t xml:space="preserve"> database</w:t>
      </w:r>
      <w:r w:rsidR="00265D3B">
        <w:t xml:space="preserve">.  </w:t>
      </w:r>
      <w:r w:rsidR="000E3FF5">
        <w:t>It</w:t>
      </w:r>
      <w:r w:rsidR="00732C4F">
        <w:t> </w:t>
      </w:r>
      <w:r w:rsidR="000E3FF5">
        <w:t xml:space="preserve">appears from the </w:t>
      </w:r>
      <w:r w:rsidR="00ED05A7">
        <w:t>information</w:t>
      </w:r>
      <w:r w:rsidR="000E3FF5">
        <w:t xml:space="preserve"> on Relativity that these copies of the </w:t>
      </w:r>
      <w:r w:rsidR="00ED05A7">
        <w:t>documents</w:t>
      </w:r>
      <w:r w:rsidR="000E3FF5">
        <w:t xml:space="preserve"> were provided by the </w:t>
      </w:r>
      <w:r w:rsidR="00ED05A7">
        <w:t>Respondents</w:t>
      </w:r>
      <w:r w:rsidR="000E3FF5">
        <w:t xml:space="preserve"> and uploaded to </w:t>
      </w:r>
      <w:r w:rsidR="00ED05A7">
        <w:t>Relativity</w:t>
      </w:r>
      <w:r w:rsidR="000E3FF5">
        <w:t xml:space="preserve"> from </w:t>
      </w:r>
      <w:r w:rsidR="00ED05A7">
        <w:t>around</w:t>
      </w:r>
      <w:r w:rsidR="000E3FF5">
        <w:t xml:space="preserve"> 6 April 2018 onwards</w:t>
      </w:r>
      <w:r w:rsidR="00265D3B">
        <w:t xml:space="preserve">.  </w:t>
      </w:r>
      <w:r w:rsidR="00ED05A7">
        <w:t xml:space="preserve">The document histories for those copies of the 1 March Letter on Relativity record that </w:t>
      </w:r>
      <w:r w:rsidR="00C33D70">
        <w:t xml:space="preserve">the first time any copy of the 1 March Ward Letter was formally reviewed for relevance was on 18 February 2019 and the last time any copy of the 1 March Ward Letter </w:t>
      </w:r>
      <w:r w:rsidR="00C33D70" w:rsidRPr="008B3C70">
        <w:t>was formally reviewed for relevance (prior to August 2024) was on 9 June 2021</w:t>
      </w:r>
      <w:r w:rsidR="00265D3B">
        <w:t xml:space="preserve">.  </w:t>
      </w:r>
      <w:r w:rsidR="00C33D70" w:rsidRPr="008B3C70">
        <w:t>At no time was</w:t>
      </w:r>
      <w:r w:rsidR="00C33D70" w:rsidRPr="00B517BD">
        <w:t xml:space="preserve"> a copy of the 1 March Ward Letter identified as responsive to any discovery category</w:t>
      </w:r>
      <w:r w:rsidR="00265D3B">
        <w:t xml:space="preserve">.  </w:t>
      </w:r>
      <w:r w:rsidR="002E7260">
        <w:t xml:space="preserve">That is why none of them had been </w:t>
      </w:r>
      <w:r w:rsidR="00C64536">
        <w:t xml:space="preserve">previously </w:t>
      </w:r>
      <w:r w:rsidR="002E7260">
        <w:t>produced.</w:t>
      </w:r>
    </w:p>
    <w:p w14:paraId="372C5295" w14:textId="38D6BF2F" w:rsidR="00C435A0" w:rsidRDefault="00C33D70" w:rsidP="00C33D70">
      <w:pPr>
        <w:pStyle w:val="ParaNumbering"/>
        <w:rPr>
          <w:szCs w:val="24"/>
        </w:rPr>
      </w:pPr>
      <w:r>
        <w:rPr>
          <w:szCs w:val="24"/>
        </w:rPr>
        <w:t xml:space="preserve">A separate </w:t>
      </w:r>
      <w:r w:rsidR="00F817D5">
        <w:rPr>
          <w:szCs w:val="24"/>
        </w:rPr>
        <w:t>d</w:t>
      </w:r>
      <w:r>
        <w:rPr>
          <w:szCs w:val="24"/>
        </w:rPr>
        <w:t xml:space="preserve">ocument </w:t>
      </w:r>
      <w:r w:rsidR="00F817D5">
        <w:rPr>
          <w:szCs w:val="24"/>
        </w:rPr>
        <w:t>h</w:t>
      </w:r>
      <w:r>
        <w:rPr>
          <w:szCs w:val="24"/>
        </w:rPr>
        <w:t xml:space="preserve">istory for </w:t>
      </w:r>
      <w:r w:rsidR="005F547F">
        <w:rPr>
          <w:szCs w:val="24"/>
        </w:rPr>
        <w:t xml:space="preserve">another version of </w:t>
      </w:r>
      <w:r>
        <w:rPr>
          <w:szCs w:val="24"/>
        </w:rPr>
        <w:t>the Ward letter (CTRL_01672826_RH) was coded in May 2021 by a Clayton Utz lawyer as discoverable, with the JKC discovery category code noted</w:t>
      </w:r>
      <w:r w:rsidR="00265D3B">
        <w:rPr>
          <w:szCs w:val="24"/>
        </w:rPr>
        <w:t xml:space="preserve">.  </w:t>
      </w:r>
      <w:r>
        <w:rPr>
          <w:szCs w:val="24"/>
        </w:rPr>
        <w:t>In June 2021 a senior associate unset the coding and coded it as not discoverable</w:t>
      </w:r>
      <w:r w:rsidR="00265D3B">
        <w:rPr>
          <w:szCs w:val="24"/>
        </w:rPr>
        <w:t xml:space="preserve">.  </w:t>
      </w:r>
      <w:r>
        <w:rPr>
          <w:szCs w:val="24"/>
        </w:rPr>
        <w:t>The</w:t>
      </w:r>
      <w:r w:rsidR="00732C4F">
        <w:rPr>
          <w:szCs w:val="24"/>
        </w:rPr>
        <w:t> </w:t>
      </w:r>
      <w:r>
        <w:rPr>
          <w:szCs w:val="24"/>
        </w:rPr>
        <w:t>discovery category code was also unset</w:t>
      </w:r>
      <w:r w:rsidR="001B3548">
        <w:rPr>
          <w:szCs w:val="24"/>
        </w:rPr>
        <w:t>.</w:t>
      </w:r>
    </w:p>
    <w:p w14:paraId="283AF592" w14:textId="0DF85AB0" w:rsidR="007D15B9" w:rsidRDefault="00C33D70" w:rsidP="00C33D70">
      <w:pPr>
        <w:pStyle w:val="ParaNumbering"/>
        <w:rPr>
          <w:szCs w:val="24"/>
        </w:rPr>
      </w:pPr>
      <w:r>
        <w:rPr>
          <w:szCs w:val="24"/>
        </w:rPr>
        <w:t xml:space="preserve">On the same day, in the </w:t>
      </w:r>
      <w:r w:rsidR="00732C4F">
        <w:rPr>
          <w:szCs w:val="24"/>
        </w:rPr>
        <w:t>document history</w:t>
      </w:r>
      <w:r>
        <w:rPr>
          <w:szCs w:val="24"/>
        </w:rPr>
        <w:t xml:space="preserve"> for the Ward letter attached as version KS-13, the senior associate made a comment</w:t>
      </w:r>
      <w:r w:rsidR="00265D3B">
        <w:rPr>
          <w:szCs w:val="24"/>
        </w:rPr>
        <w:t xml:space="preserve">.  </w:t>
      </w:r>
      <w:r>
        <w:rPr>
          <w:szCs w:val="24"/>
        </w:rPr>
        <w:t>The comment is redacted in KS-13</w:t>
      </w:r>
      <w:r w:rsidR="001B3548">
        <w:rPr>
          <w:szCs w:val="24"/>
        </w:rPr>
        <w:t>.</w:t>
      </w:r>
    </w:p>
    <w:p w14:paraId="22B4A780" w14:textId="5761F917" w:rsidR="00C33D70" w:rsidRDefault="00F755A4" w:rsidP="00C33D70">
      <w:pPr>
        <w:pStyle w:val="ParaNumbering"/>
        <w:rPr>
          <w:szCs w:val="24"/>
        </w:rPr>
      </w:pPr>
      <w:r>
        <w:rPr>
          <w:szCs w:val="24"/>
        </w:rPr>
        <w:t xml:space="preserve">There were clearly separate </w:t>
      </w:r>
      <w:r w:rsidR="007D15B9">
        <w:rPr>
          <w:szCs w:val="24"/>
        </w:rPr>
        <w:t xml:space="preserve">document histories for </w:t>
      </w:r>
      <w:r>
        <w:rPr>
          <w:szCs w:val="24"/>
        </w:rPr>
        <w:t xml:space="preserve">separate versions of </w:t>
      </w:r>
      <w:r w:rsidR="007D15B9">
        <w:rPr>
          <w:szCs w:val="24"/>
        </w:rPr>
        <w:t>the Ward letter</w:t>
      </w:r>
      <w:r w:rsidR="00DB657D">
        <w:rPr>
          <w:szCs w:val="24"/>
        </w:rPr>
        <w:t>, including one with an embedded comment.</w:t>
      </w:r>
    </w:p>
    <w:p w14:paraId="078AB19F" w14:textId="26E56C91" w:rsidR="00C33D70" w:rsidRDefault="006607F3" w:rsidP="00C33D70">
      <w:pPr>
        <w:pStyle w:val="ParaNumbering"/>
      </w:pPr>
      <w:r>
        <w:t xml:space="preserve">It is </w:t>
      </w:r>
      <w:r w:rsidR="00C33D70">
        <w:t>apparent that</w:t>
      </w:r>
      <w:r w:rsidR="00253BCF">
        <w:t>,</w:t>
      </w:r>
      <w:r w:rsidR="00C33D70">
        <w:t xml:space="preserve"> contrary to </w:t>
      </w:r>
      <w:r w:rsidR="001B3548">
        <w:t>Mr </w:t>
      </w:r>
      <w:r w:rsidR="00C33D70">
        <w:t xml:space="preserve">Donisi's </w:t>
      </w:r>
      <w:r w:rsidR="00B016E2">
        <w:t xml:space="preserve">affidavit </w:t>
      </w:r>
      <w:r w:rsidR="00C33D70">
        <w:t>evidence</w:t>
      </w:r>
      <w:r w:rsidR="007E7BCB">
        <w:t>, th</w:t>
      </w:r>
      <w:r w:rsidR="00A6536E">
        <w:t>e</w:t>
      </w:r>
      <w:r w:rsidR="007E7BCB">
        <w:t xml:space="preserve"> Ward letter </w:t>
      </w:r>
      <w:r w:rsidR="00347B2E" w:rsidRPr="00C917E3">
        <w:t>was</w:t>
      </w:r>
      <w:r w:rsidR="00347B2E">
        <w:t xml:space="preserve"> </w:t>
      </w:r>
      <w:r w:rsidR="00C33D70">
        <w:t xml:space="preserve">identified </w:t>
      </w:r>
      <w:r w:rsidR="00347B2E">
        <w:t xml:space="preserve">as discoverable </w:t>
      </w:r>
      <w:r w:rsidR="00253BCF">
        <w:t xml:space="preserve">by a Clayton Utz lawyer </w:t>
      </w:r>
      <w:r w:rsidR="00F70DF6">
        <w:t xml:space="preserve">and </w:t>
      </w:r>
      <w:r w:rsidR="00C917E3">
        <w:t xml:space="preserve">identified </w:t>
      </w:r>
      <w:r w:rsidR="00F70DF6">
        <w:t xml:space="preserve">as falling within a discovery category </w:t>
      </w:r>
      <w:r w:rsidR="00C33D70">
        <w:t>in May 2021</w:t>
      </w:r>
      <w:r w:rsidR="00265D3B">
        <w:t xml:space="preserve">.  </w:t>
      </w:r>
      <w:r w:rsidR="00C33D70">
        <w:t xml:space="preserve">However, </w:t>
      </w:r>
      <w:r w:rsidR="00347B2E">
        <w:t>it is also apparent that on further review</w:t>
      </w:r>
      <w:r w:rsidR="002D5979">
        <w:t xml:space="preserve"> by a senior associate</w:t>
      </w:r>
      <w:r w:rsidR="00F70DF6">
        <w:t>,</w:t>
      </w:r>
      <w:r w:rsidR="00347B2E">
        <w:t xml:space="preserve"> </w:t>
      </w:r>
      <w:r w:rsidR="00F574D9">
        <w:t>the lawyer's</w:t>
      </w:r>
      <w:r w:rsidR="00C33D70">
        <w:t xml:space="preserve"> coding was reversed</w:t>
      </w:r>
      <w:r w:rsidR="00265D3B">
        <w:t xml:space="preserve">.  </w:t>
      </w:r>
      <w:r w:rsidR="00CF5DCA">
        <w:t xml:space="preserve">The same senior associate </w:t>
      </w:r>
      <w:r w:rsidR="00F535BA">
        <w:t xml:space="preserve">made a comment about the Ward letter in </w:t>
      </w:r>
      <w:r w:rsidR="003F5728">
        <w:t>a</w:t>
      </w:r>
      <w:r w:rsidR="00CF5DCA">
        <w:t xml:space="preserve"> separate document history</w:t>
      </w:r>
      <w:r w:rsidR="003F5728">
        <w:t xml:space="preserve"> for the Ward letter</w:t>
      </w:r>
      <w:r w:rsidR="00265D3B">
        <w:t xml:space="preserve">.  </w:t>
      </w:r>
      <w:r w:rsidR="00D73ED9">
        <w:t>I do not consider the fact th</w:t>
      </w:r>
      <w:r w:rsidR="00D42F1C">
        <w:t>a</w:t>
      </w:r>
      <w:r w:rsidR="00D73ED9">
        <w:t xml:space="preserve">t the </w:t>
      </w:r>
      <w:r w:rsidR="00D42F1C">
        <w:t>Embedded</w:t>
      </w:r>
      <w:r w:rsidR="00D73ED9">
        <w:t xml:space="preserve"> </w:t>
      </w:r>
      <w:r w:rsidR="00D42F1C">
        <w:t>Comment</w:t>
      </w:r>
      <w:r w:rsidR="00D73ED9">
        <w:t xml:space="preserve"> </w:t>
      </w:r>
      <w:r w:rsidR="001539DE">
        <w:t xml:space="preserve">the subject of this application </w:t>
      </w:r>
      <w:r w:rsidR="00D73ED9">
        <w:t xml:space="preserve">is </w:t>
      </w:r>
      <w:r w:rsidR="001539DE">
        <w:t>included</w:t>
      </w:r>
      <w:r w:rsidR="00D73ED9">
        <w:t xml:space="preserve"> in a </w:t>
      </w:r>
      <w:r w:rsidR="001539DE">
        <w:t>separate document</w:t>
      </w:r>
      <w:r w:rsidR="00D73ED9">
        <w:t xml:space="preserve"> </w:t>
      </w:r>
      <w:r w:rsidR="001539DE">
        <w:t>h</w:t>
      </w:r>
      <w:r w:rsidR="00D73ED9">
        <w:t xml:space="preserve">istory to </w:t>
      </w:r>
      <w:r w:rsidR="00D42F1C">
        <w:t>be of any great significance</w:t>
      </w:r>
      <w:r w:rsidR="00265D3B">
        <w:t xml:space="preserve">.  </w:t>
      </w:r>
      <w:r w:rsidR="00D42F1C">
        <w:t xml:space="preserve">The </w:t>
      </w:r>
      <w:r w:rsidR="00394924">
        <w:t>document</w:t>
      </w:r>
      <w:r w:rsidR="00D42F1C">
        <w:t xml:space="preserve"> </w:t>
      </w:r>
      <w:r w:rsidR="00394924">
        <w:t>histories</w:t>
      </w:r>
      <w:r w:rsidR="00D42F1C">
        <w:t xml:space="preserve"> relate to the same Ward letter</w:t>
      </w:r>
      <w:r w:rsidR="001B3548">
        <w:t>.</w:t>
      </w:r>
    </w:p>
    <w:p w14:paraId="336B4EEB" w14:textId="01DF3587" w:rsidR="000D374F" w:rsidRDefault="001B3548" w:rsidP="00C33D70">
      <w:pPr>
        <w:pStyle w:val="ParaNumbering"/>
      </w:pPr>
      <w:r>
        <w:t>Mr </w:t>
      </w:r>
      <w:r w:rsidR="00265010">
        <w:t xml:space="preserve">Donisi accepted </w:t>
      </w:r>
      <w:r w:rsidR="00347AA5">
        <w:t>d</w:t>
      </w:r>
      <w:r w:rsidR="00265010">
        <w:t>uring cross-examin</w:t>
      </w:r>
      <w:r w:rsidR="00347AA5">
        <w:t>ation</w:t>
      </w:r>
      <w:r w:rsidR="00265010">
        <w:t xml:space="preserve"> that the </w:t>
      </w:r>
      <w:r w:rsidR="00347AA5">
        <w:t>Ward letter</w:t>
      </w:r>
      <w:r w:rsidR="00265010">
        <w:t xml:space="preserve"> should have been discovered</w:t>
      </w:r>
      <w:r w:rsidR="003B443E">
        <w:t xml:space="preserve"> </w:t>
      </w:r>
      <w:r w:rsidR="00D93336">
        <w:t>(</w:t>
      </w:r>
      <w:r w:rsidR="002B109D">
        <w:t xml:space="preserve">although apparently on the basis that </w:t>
      </w:r>
      <w:r w:rsidR="00347AA5">
        <w:t>it was part of a family</w:t>
      </w:r>
      <w:r w:rsidR="00AA7449">
        <w:t xml:space="preserve"> of docu</w:t>
      </w:r>
      <w:r w:rsidR="002057B7">
        <w:t xml:space="preserve">ments </w:t>
      </w:r>
      <w:r w:rsidR="00F2788F">
        <w:t xml:space="preserve">and within a </w:t>
      </w:r>
      <w:r w:rsidR="00F2788F">
        <w:lastRenderedPageBreak/>
        <w:t>discovery protocol</w:t>
      </w:r>
      <w:r w:rsidR="00F765D7">
        <w:t>,</w:t>
      </w:r>
      <w:r w:rsidR="00F2788F">
        <w:t xml:space="preserve"> </w:t>
      </w:r>
      <w:r w:rsidR="00D93336">
        <w:t xml:space="preserve">and </w:t>
      </w:r>
      <w:r>
        <w:t>Mr </w:t>
      </w:r>
      <w:r w:rsidR="00F02BC9">
        <w:t xml:space="preserve">Donisi maintained </w:t>
      </w:r>
      <w:r w:rsidR="00F765D7">
        <w:t xml:space="preserve">the position that </w:t>
      </w:r>
      <w:r w:rsidR="00F02BC9">
        <w:t>it was not discoverable in isolation</w:t>
      </w:r>
      <w:r w:rsidR="00F765D7">
        <w:t>,</w:t>
      </w:r>
      <w:r w:rsidR="00F02BC9">
        <w:t xml:space="preserve"> </w:t>
      </w:r>
      <w:r w:rsidR="002B109D">
        <w:t>having</w:t>
      </w:r>
      <w:r w:rsidR="00F02BC9">
        <w:t xml:space="preserve"> regard to discovery categories)</w:t>
      </w:r>
      <w:r>
        <w:t>.</w:t>
      </w:r>
    </w:p>
    <w:p w14:paraId="646172B1" w14:textId="36434B8F" w:rsidR="00F94C11" w:rsidRDefault="00F94C11" w:rsidP="00F94C11">
      <w:pPr>
        <w:pStyle w:val="ParaNumbering"/>
      </w:pPr>
      <w:r>
        <w:t xml:space="preserve">It is apparent from </w:t>
      </w:r>
      <w:r w:rsidR="001B3548">
        <w:t>Mr </w:t>
      </w:r>
      <w:r w:rsidR="002F6601">
        <w:t>Donisi'</w:t>
      </w:r>
      <w:r w:rsidR="00F765D7">
        <w:t>s</w:t>
      </w:r>
      <w:r w:rsidR="002F6601">
        <w:t xml:space="preserve"> affidavit evidence </w:t>
      </w:r>
      <w:r>
        <w:t>that there is information about the Ward letter in Relativity</w:t>
      </w:r>
      <w:r w:rsidR="00EF1782">
        <w:t xml:space="preserve"> (and potentially in 20 different entries)</w:t>
      </w:r>
      <w:r w:rsidR="00265D3B">
        <w:t xml:space="preserve">.  </w:t>
      </w:r>
      <w:r>
        <w:t>The document histories are expressly referred to</w:t>
      </w:r>
      <w:r w:rsidR="00265D3B">
        <w:t xml:space="preserve">.  </w:t>
      </w:r>
      <w:r w:rsidR="001B3548">
        <w:t>Mr </w:t>
      </w:r>
      <w:r>
        <w:t xml:space="preserve">Donisi </w:t>
      </w:r>
      <w:r w:rsidR="00EF1782">
        <w:t>makes</w:t>
      </w:r>
      <w:r>
        <w:t xml:space="preserve"> an assertion about what those document histories record</w:t>
      </w:r>
      <w:r w:rsidR="00265D3B">
        <w:t xml:space="preserve">.  </w:t>
      </w:r>
      <w:r>
        <w:t xml:space="preserve">Objectively, </w:t>
      </w:r>
      <w:r w:rsidR="00EF1782">
        <w:t>his</w:t>
      </w:r>
      <w:r>
        <w:t xml:space="preserve"> evidence indicates</w:t>
      </w:r>
      <w:r w:rsidR="000D4CA1">
        <w:t xml:space="preserve"> to a reader </w:t>
      </w:r>
      <w:r w:rsidR="00EF1782">
        <w:t>that</w:t>
      </w:r>
      <w:r>
        <w:t xml:space="preserve"> the document histories have been looked at and relied upon (even if not by </w:t>
      </w:r>
      <w:r w:rsidR="001B3548">
        <w:t>Mr </w:t>
      </w:r>
      <w:r>
        <w:t>Donisi personally)</w:t>
      </w:r>
      <w:r w:rsidR="00265D3B">
        <w:t xml:space="preserve">.  </w:t>
      </w:r>
      <w:r>
        <w:t xml:space="preserve">The </w:t>
      </w:r>
      <w:r w:rsidR="002B12F6">
        <w:t xml:space="preserve">affidavit </w:t>
      </w:r>
      <w:r>
        <w:t>evidence suggests that there is nothing in the entire document history</w:t>
      </w:r>
      <w:r w:rsidR="00625D22">
        <w:t xml:space="preserve"> (or histories)</w:t>
      </w:r>
      <w:r>
        <w:t xml:space="preserve"> that reveals that the Ward letter was ever identified as discoverable</w:t>
      </w:r>
      <w:r w:rsidR="00265D3B">
        <w:t xml:space="preserve">.  </w:t>
      </w:r>
      <w:r w:rsidR="001B3548">
        <w:t>Mr </w:t>
      </w:r>
      <w:r w:rsidR="0086556D">
        <w:t>Donisi makes reference to the document histories in order to justify decision</w:t>
      </w:r>
      <w:r w:rsidR="00974876">
        <w:t>s</w:t>
      </w:r>
      <w:r w:rsidR="0086556D">
        <w:t xml:space="preserve"> made by ANIP in relation to </w:t>
      </w:r>
      <w:r w:rsidR="00974876">
        <w:t>discovery and in t</w:t>
      </w:r>
      <w:r w:rsidR="00F94D2A">
        <w:t xml:space="preserve">he </w:t>
      </w:r>
      <w:r w:rsidR="00754F3C">
        <w:t xml:space="preserve">face of </w:t>
      </w:r>
      <w:r w:rsidR="00F94D2A">
        <w:t>issue</w:t>
      </w:r>
      <w:r w:rsidR="00754F3C">
        <w:t>s</w:t>
      </w:r>
      <w:r w:rsidR="00F94D2A">
        <w:t xml:space="preserve"> raised by INPEX as to the veracity of ANIP</w:t>
      </w:r>
      <w:r w:rsidR="00754F3C">
        <w:t>'</w:t>
      </w:r>
      <w:r w:rsidR="00F94D2A">
        <w:t xml:space="preserve">s </w:t>
      </w:r>
      <w:r w:rsidR="00754F3C">
        <w:t>discovery</w:t>
      </w:r>
      <w:r w:rsidR="00265D3B">
        <w:t xml:space="preserve">.  </w:t>
      </w:r>
      <w:r w:rsidR="00A13D63">
        <w:t>This</w:t>
      </w:r>
      <w:r w:rsidR="003A0F20">
        <w:t xml:space="preserve"> is relevant to </w:t>
      </w:r>
      <w:r w:rsidR="00A13D63">
        <w:t>ANIP's</w:t>
      </w:r>
      <w:r w:rsidR="003A0F20">
        <w:t xml:space="preserve"> contention that the Court should find the discovery process </w:t>
      </w:r>
      <w:r w:rsidR="00A13D63">
        <w:t>has</w:t>
      </w:r>
      <w:r w:rsidR="003A0F20">
        <w:t xml:space="preserve"> been sound and reliable and that any errors were inadvertent</w:t>
      </w:r>
      <w:r w:rsidR="00265D3B">
        <w:t xml:space="preserve">.  </w:t>
      </w:r>
      <w:r w:rsidR="00B34434">
        <w:t>I</w:t>
      </w:r>
      <w:r w:rsidR="00A13D63">
        <w:t>n</w:t>
      </w:r>
      <w:r w:rsidR="00B34434">
        <w:t xml:space="preserve"> </w:t>
      </w:r>
      <w:r w:rsidR="00A045AB">
        <w:t xml:space="preserve">all of the </w:t>
      </w:r>
      <w:r w:rsidR="00A13D63">
        <w:t>circumstances</w:t>
      </w:r>
      <w:r w:rsidR="00B34434">
        <w:t xml:space="preserve">, it is </w:t>
      </w:r>
      <w:r w:rsidR="00A13D63">
        <w:t>inconsistent</w:t>
      </w:r>
      <w:r w:rsidR="003A0F20">
        <w:t xml:space="preserve"> and unfair f</w:t>
      </w:r>
      <w:r w:rsidR="00A13D63">
        <w:t>o</w:t>
      </w:r>
      <w:r w:rsidR="003A0F20">
        <w:t xml:space="preserve">r </w:t>
      </w:r>
      <w:r w:rsidR="00A13D63">
        <w:t>ANIP</w:t>
      </w:r>
      <w:r w:rsidR="003A0F20">
        <w:t xml:space="preserve"> to</w:t>
      </w:r>
      <w:r w:rsidR="00DB1F89">
        <w:t xml:space="preserve"> seek to disclose a selected part </w:t>
      </w:r>
      <w:r w:rsidR="00CD333B">
        <w:t>of the identified d</w:t>
      </w:r>
      <w:r w:rsidR="0067241D">
        <w:t>ocument</w:t>
      </w:r>
      <w:r w:rsidR="00CD333B">
        <w:t xml:space="preserve"> history </w:t>
      </w:r>
      <w:r w:rsidR="001162AA">
        <w:t xml:space="preserve">upon which it relies </w:t>
      </w:r>
      <w:r w:rsidR="00DB1F89">
        <w:t xml:space="preserve">and to </w:t>
      </w:r>
      <w:r w:rsidR="003A0F20">
        <w:t xml:space="preserve">refuse to disclose the Embedded </w:t>
      </w:r>
      <w:r w:rsidR="00A13D63">
        <w:t>C</w:t>
      </w:r>
      <w:r w:rsidR="003A0F20">
        <w:t>omments</w:t>
      </w:r>
      <w:r w:rsidR="00265D3B">
        <w:t xml:space="preserve">.  </w:t>
      </w:r>
      <w:r w:rsidR="00A13D63">
        <w:t>I am satisfied that any privilege in those comments is waived.</w:t>
      </w:r>
    </w:p>
    <w:p w14:paraId="71EE773E" w14:textId="56D0AA58" w:rsidR="00F94C11" w:rsidRDefault="00BF39FE" w:rsidP="00BF39FE">
      <w:pPr>
        <w:pStyle w:val="Heading4"/>
      </w:pPr>
      <w:r>
        <w:t>KS-16 and KS-17</w:t>
      </w:r>
    </w:p>
    <w:p w14:paraId="6ECCC540" w14:textId="1463618C" w:rsidR="00C33D70" w:rsidRDefault="00C33D70" w:rsidP="00C33D70">
      <w:pPr>
        <w:pStyle w:val="ParaNumbering"/>
        <w:rPr>
          <w:szCs w:val="24"/>
        </w:rPr>
      </w:pPr>
      <w:r>
        <w:rPr>
          <w:szCs w:val="24"/>
        </w:rPr>
        <w:t xml:space="preserve">KS-16 and KS-17 are referred to as </w:t>
      </w:r>
      <w:r w:rsidR="00F41A4F">
        <w:rPr>
          <w:szCs w:val="24"/>
        </w:rPr>
        <w:t>document histories</w:t>
      </w:r>
      <w:r>
        <w:rPr>
          <w:szCs w:val="24"/>
        </w:rPr>
        <w:t xml:space="preserve"> for the 'HHI PowerPoint' that was attached to the same email as the Ward letter</w:t>
      </w:r>
      <w:r w:rsidR="00265D3B">
        <w:rPr>
          <w:szCs w:val="24"/>
        </w:rPr>
        <w:t xml:space="preserve">.  </w:t>
      </w:r>
      <w:r>
        <w:rPr>
          <w:szCs w:val="24"/>
        </w:rPr>
        <w:t>Both were coded as discoverable in May 2021 and coded to a JKC discovery category</w:t>
      </w:r>
      <w:r w:rsidR="00265D3B">
        <w:rPr>
          <w:szCs w:val="24"/>
        </w:rPr>
        <w:t xml:space="preserve">.  </w:t>
      </w:r>
      <w:r>
        <w:rPr>
          <w:szCs w:val="24"/>
        </w:rPr>
        <w:t>The coding was changed by a senior associate to not discoverable on 9 June 2021 and a comment inserted</w:t>
      </w:r>
      <w:r w:rsidR="00265D3B">
        <w:rPr>
          <w:szCs w:val="24"/>
        </w:rPr>
        <w:t xml:space="preserve">.  </w:t>
      </w:r>
      <w:r>
        <w:rPr>
          <w:szCs w:val="24"/>
        </w:rPr>
        <w:t>The comment is redacted in KS-16 and KS-17</w:t>
      </w:r>
      <w:r w:rsidR="00265D3B">
        <w:rPr>
          <w:szCs w:val="24"/>
        </w:rPr>
        <w:t xml:space="preserve">.  </w:t>
      </w:r>
      <w:r>
        <w:rPr>
          <w:szCs w:val="24"/>
        </w:rPr>
        <w:t>At the same time, there was a further version of the HHI PowerPoint that was reviewed and identified as discoverable in May 2021 (AKZ.145.001.0074_RH)</w:t>
      </w:r>
      <w:r w:rsidR="00265D3B">
        <w:rPr>
          <w:szCs w:val="24"/>
        </w:rPr>
        <w:t xml:space="preserve">.  </w:t>
      </w:r>
      <w:r>
        <w:rPr>
          <w:szCs w:val="24"/>
        </w:rPr>
        <w:t>Despite being further reviewed after 9 June 2021, three lawyers at Clayton Utz did not change its coding from discoverable</w:t>
      </w:r>
      <w:r w:rsidR="00265D3B">
        <w:rPr>
          <w:szCs w:val="24"/>
        </w:rPr>
        <w:t xml:space="preserve">.  </w:t>
      </w:r>
      <w:r>
        <w:rPr>
          <w:szCs w:val="24"/>
        </w:rPr>
        <w:t>One of the lawyers was the same senior associate that changed the version at KS-16 and KS-17 to not discoverable</w:t>
      </w:r>
      <w:r w:rsidR="00265D3B">
        <w:rPr>
          <w:szCs w:val="24"/>
        </w:rPr>
        <w:t xml:space="preserve">.  </w:t>
      </w:r>
      <w:r w:rsidR="00D81AE0">
        <w:rPr>
          <w:szCs w:val="24"/>
        </w:rPr>
        <w:t xml:space="preserve">The </w:t>
      </w:r>
      <w:r w:rsidR="005B7BAD">
        <w:rPr>
          <w:szCs w:val="24"/>
        </w:rPr>
        <w:t>document was discovered on 20 August 2024.</w:t>
      </w:r>
    </w:p>
    <w:p w14:paraId="59A74A01" w14:textId="37B3DE0F" w:rsidR="006D25EA" w:rsidRDefault="00A61C52" w:rsidP="009D37E9">
      <w:pPr>
        <w:pStyle w:val="ParaNumbering"/>
      </w:pPr>
      <w:r>
        <w:t>There is no evidence</w:t>
      </w:r>
      <w:r w:rsidR="00BA7E91">
        <w:t xml:space="preserve"> in </w:t>
      </w:r>
      <w:r w:rsidR="001B3548">
        <w:t>Mr </w:t>
      </w:r>
      <w:r w:rsidR="00BA7E91">
        <w:t xml:space="preserve">Donisi's affidavits or under cross-examination that indicates </w:t>
      </w:r>
      <w:r>
        <w:t xml:space="preserve">that </w:t>
      </w:r>
      <w:r w:rsidR="001B3548">
        <w:t>Mr </w:t>
      </w:r>
      <w:r>
        <w:t xml:space="preserve">Donisi reviewed </w:t>
      </w:r>
      <w:r w:rsidR="00F56349">
        <w:t xml:space="preserve">any </w:t>
      </w:r>
      <w:r w:rsidR="009066B4">
        <w:t>document</w:t>
      </w:r>
      <w:r w:rsidR="00F56349">
        <w:t xml:space="preserve"> histories </w:t>
      </w:r>
      <w:r>
        <w:t xml:space="preserve">in relation to </w:t>
      </w:r>
      <w:r w:rsidR="00727EA1">
        <w:t>the H</w:t>
      </w:r>
      <w:r w:rsidR="009066B4">
        <w:t>HI</w:t>
      </w:r>
      <w:r w:rsidR="00727EA1">
        <w:t xml:space="preserve"> PowerPoint</w:t>
      </w:r>
      <w:r w:rsidR="00265D3B">
        <w:t xml:space="preserve">.  </w:t>
      </w:r>
      <w:r w:rsidR="006668BE">
        <w:t>No reference was made to any comments about it in any document histories or in the Relativity database.</w:t>
      </w:r>
    </w:p>
    <w:p w14:paraId="584C4992" w14:textId="1038F966" w:rsidR="009D37E9" w:rsidRPr="009D37E9" w:rsidRDefault="006668BE" w:rsidP="009D37E9">
      <w:pPr>
        <w:pStyle w:val="ParaNumbering"/>
      </w:pPr>
      <w:r>
        <w:t xml:space="preserve">In those circumstances, I am not satisfied that there has been a waiver through </w:t>
      </w:r>
      <w:r w:rsidR="001B3548">
        <w:t>Mr </w:t>
      </w:r>
      <w:r>
        <w:t>Donisi's conduct of any privilege</w:t>
      </w:r>
      <w:r w:rsidR="004734D9">
        <w:t xml:space="preserve"> maintained by ANIP</w:t>
      </w:r>
      <w:r>
        <w:t xml:space="preserve"> in the</w:t>
      </w:r>
      <w:r w:rsidR="004734D9">
        <w:t xml:space="preserve"> </w:t>
      </w:r>
      <w:r>
        <w:t>Embedded Comments.</w:t>
      </w:r>
    </w:p>
    <w:p w14:paraId="0AB5924E" w14:textId="24B9D8D6" w:rsidR="002F7662" w:rsidRDefault="001942B2" w:rsidP="005D330C">
      <w:pPr>
        <w:pStyle w:val="Heading2"/>
      </w:pPr>
      <w:r>
        <w:lastRenderedPageBreak/>
        <w:t xml:space="preserve">Second category - </w:t>
      </w:r>
      <w:r w:rsidR="002F7662">
        <w:t>Lancaster Communications</w:t>
      </w:r>
    </w:p>
    <w:p w14:paraId="02444698" w14:textId="2DB9C39F" w:rsidR="00541820" w:rsidRPr="00395C1C" w:rsidRDefault="00541820" w:rsidP="00CD1346">
      <w:pPr>
        <w:pStyle w:val="ParaNumbering"/>
        <w:rPr>
          <w:szCs w:val="24"/>
        </w:rPr>
      </w:pPr>
      <w:r w:rsidRPr="00854D1C">
        <w:rPr>
          <w:szCs w:val="24"/>
        </w:rPr>
        <w:t>T</w:t>
      </w:r>
      <w:r w:rsidR="00E35F89" w:rsidRPr="00854D1C">
        <w:rPr>
          <w:szCs w:val="24"/>
        </w:rPr>
        <w:t>h</w:t>
      </w:r>
      <w:r w:rsidRPr="00854D1C">
        <w:rPr>
          <w:szCs w:val="24"/>
        </w:rPr>
        <w:t xml:space="preserve">e second category </w:t>
      </w:r>
      <w:r w:rsidR="001A5B17">
        <w:rPr>
          <w:szCs w:val="24"/>
        </w:rPr>
        <w:t>is</w:t>
      </w:r>
      <w:r w:rsidR="00E35F89" w:rsidRPr="00854D1C">
        <w:rPr>
          <w:szCs w:val="24"/>
        </w:rPr>
        <w:t xml:space="preserve"> referred to as</w:t>
      </w:r>
      <w:r w:rsidR="00995681" w:rsidRPr="00854D1C">
        <w:rPr>
          <w:szCs w:val="24"/>
        </w:rPr>
        <w:t xml:space="preserve"> unredacted </w:t>
      </w:r>
      <w:r w:rsidR="00AA32E6" w:rsidRPr="00854D1C">
        <w:rPr>
          <w:szCs w:val="24"/>
        </w:rPr>
        <w:t>copies</w:t>
      </w:r>
      <w:r w:rsidR="00995681" w:rsidRPr="00854D1C">
        <w:rPr>
          <w:szCs w:val="24"/>
        </w:rPr>
        <w:t xml:space="preserve"> of</w:t>
      </w:r>
      <w:r w:rsidR="00E35F89" w:rsidRPr="00854D1C">
        <w:rPr>
          <w:szCs w:val="24"/>
        </w:rPr>
        <w:t xml:space="preserve"> the </w:t>
      </w:r>
      <w:r w:rsidR="00E35F89" w:rsidRPr="00854D1C">
        <w:rPr>
          <w:b/>
          <w:bCs/>
          <w:szCs w:val="24"/>
        </w:rPr>
        <w:t>Lancaster Communications</w:t>
      </w:r>
      <w:r w:rsidR="00265D3B">
        <w:rPr>
          <w:szCs w:val="24"/>
        </w:rPr>
        <w:t xml:space="preserve">.  </w:t>
      </w:r>
      <w:r w:rsidR="007D7E38" w:rsidRPr="00854D1C">
        <w:rPr>
          <w:szCs w:val="24"/>
        </w:rPr>
        <w:t xml:space="preserve">As explained in </w:t>
      </w:r>
      <w:r w:rsidR="00290FFB">
        <w:rPr>
          <w:i/>
          <w:iCs/>
          <w:szCs w:val="24"/>
        </w:rPr>
        <w:t>INPEX</w:t>
      </w:r>
      <w:r w:rsidR="007D7E38" w:rsidRPr="00854D1C">
        <w:rPr>
          <w:i/>
          <w:iCs/>
          <w:szCs w:val="24"/>
        </w:rPr>
        <w:t xml:space="preserve"> (No 3)</w:t>
      </w:r>
      <w:r w:rsidR="00FD4855">
        <w:rPr>
          <w:i/>
          <w:iCs/>
          <w:szCs w:val="24"/>
        </w:rPr>
        <w:t xml:space="preserve"> </w:t>
      </w:r>
      <w:r w:rsidR="00FD4855" w:rsidRPr="00FD4855">
        <w:rPr>
          <w:szCs w:val="24"/>
        </w:rPr>
        <w:t>at [49]</w:t>
      </w:r>
      <w:r w:rsidR="004551D1" w:rsidRPr="00FD4855">
        <w:rPr>
          <w:szCs w:val="24"/>
        </w:rPr>
        <w:t xml:space="preserve">, </w:t>
      </w:r>
      <w:r w:rsidR="00232F19">
        <w:rPr>
          <w:szCs w:val="24"/>
        </w:rPr>
        <w:t>Ms </w:t>
      </w:r>
      <w:r w:rsidR="00E07312" w:rsidRPr="00854D1C">
        <w:rPr>
          <w:szCs w:val="24"/>
        </w:rPr>
        <w:t>Lancaster h</w:t>
      </w:r>
      <w:r w:rsidR="00E07312" w:rsidRPr="00854D1C">
        <w:rPr>
          <w:color w:val="000000"/>
          <w:szCs w:val="24"/>
          <w:shd w:val="clear" w:color="auto" w:fill="FFFFFF"/>
        </w:rPr>
        <w:t>olds</w:t>
      </w:r>
      <w:r w:rsidR="00732C4F">
        <w:rPr>
          <w:color w:val="000000"/>
          <w:szCs w:val="24"/>
          <w:shd w:val="clear" w:color="auto" w:fill="FFFFFF"/>
        </w:rPr>
        <w:t xml:space="preserve"> </w:t>
      </w:r>
      <w:r w:rsidR="00E07312" w:rsidRPr="00854D1C">
        <w:rPr>
          <w:color w:val="000000"/>
          <w:szCs w:val="24"/>
          <w:shd w:val="clear" w:color="auto" w:fill="FFFFFF"/>
        </w:rPr>
        <w:t>the position of Director</w:t>
      </w:r>
      <w:r w:rsidR="00732C4F">
        <w:rPr>
          <w:color w:val="000000"/>
          <w:szCs w:val="24"/>
          <w:shd w:val="clear" w:color="auto" w:fill="FFFFFF"/>
        </w:rPr>
        <w:t xml:space="preserve"> </w:t>
      </w:r>
      <w:r w:rsidR="00E07312" w:rsidRPr="00854D1C">
        <w:rPr>
          <w:color w:val="000000"/>
          <w:szCs w:val="24"/>
          <w:shd w:val="clear" w:color="auto" w:fill="FFFFFF"/>
        </w:rPr>
        <w:t>Litigation of the AkzoNobel</w:t>
      </w:r>
      <w:r w:rsidR="00732C4F">
        <w:rPr>
          <w:color w:val="000000"/>
          <w:szCs w:val="24"/>
          <w:shd w:val="clear" w:color="auto" w:fill="FFFFFF"/>
        </w:rPr>
        <w:t xml:space="preserve"> </w:t>
      </w:r>
      <w:r w:rsidR="00E07312" w:rsidRPr="00854D1C">
        <w:rPr>
          <w:color w:val="000000"/>
          <w:szCs w:val="24"/>
          <w:shd w:val="clear" w:color="auto" w:fill="FFFFFF"/>
        </w:rPr>
        <w:t>NV</w:t>
      </w:r>
      <w:r w:rsidR="00732C4F">
        <w:rPr>
          <w:color w:val="000000"/>
          <w:szCs w:val="24"/>
          <w:shd w:val="clear" w:color="auto" w:fill="FFFFFF"/>
        </w:rPr>
        <w:t xml:space="preserve"> </w:t>
      </w:r>
      <w:r w:rsidR="00E07312" w:rsidRPr="00854D1C">
        <w:rPr>
          <w:color w:val="000000"/>
          <w:szCs w:val="24"/>
          <w:shd w:val="clear" w:color="auto" w:fill="FFFFFF"/>
        </w:rPr>
        <w:t>group of companies,</w:t>
      </w:r>
      <w:r w:rsidR="00732C4F">
        <w:rPr>
          <w:color w:val="000000"/>
          <w:szCs w:val="24"/>
          <w:shd w:val="clear" w:color="auto" w:fill="FFFFFF"/>
        </w:rPr>
        <w:t xml:space="preserve"> </w:t>
      </w:r>
      <w:r w:rsidR="00E07312" w:rsidRPr="00854D1C">
        <w:rPr>
          <w:color w:val="000000"/>
          <w:szCs w:val="24"/>
          <w:shd w:val="clear" w:color="auto" w:fill="FFFFFF"/>
        </w:rPr>
        <w:t>being a global role</w:t>
      </w:r>
      <w:r w:rsidR="001B3548">
        <w:rPr>
          <w:color w:val="000000"/>
          <w:szCs w:val="24"/>
          <w:shd w:val="clear" w:color="auto" w:fill="FFFFFF"/>
        </w:rPr>
        <w:t>.</w:t>
      </w:r>
    </w:p>
    <w:p w14:paraId="5B85AF65" w14:textId="4C8F8C2B" w:rsidR="00395C1C" w:rsidRDefault="00CA2829" w:rsidP="00CA2829">
      <w:pPr>
        <w:pStyle w:val="Heading3"/>
        <w:rPr>
          <w:shd w:val="clear" w:color="auto" w:fill="FFFFFF"/>
        </w:rPr>
      </w:pPr>
      <w:r>
        <w:rPr>
          <w:shd w:val="clear" w:color="auto" w:fill="FFFFFF"/>
        </w:rPr>
        <w:t xml:space="preserve">Background to provision of </w:t>
      </w:r>
      <w:r w:rsidR="00EA6998">
        <w:rPr>
          <w:shd w:val="clear" w:color="auto" w:fill="FFFFFF"/>
        </w:rPr>
        <w:t xml:space="preserve">Lancaster </w:t>
      </w:r>
      <w:r>
        <w:rPr>
          <w:shd w:val="clear" w:color="auto" w:fill="FFFFFF"/>
        </w:rPr>
        <w:t>affidavit</w:t>
      </w:r>
    </w:p>
    <w:p w14:paraId="46F93DEE" w14:textId="052E932B" w:rsidR="0055184E" w:rsidRDefault="0055184E" w:rsidP="0055184E">
      <w:pPr>
        <w:pStyle w:val="ParaNumbering"/>
        <w:tabs>
          <w:tab w:val="clear" w:pos="720"/>
        </w:tabs>
      </w:pPr>
      <w:r>
        <w:t xml:space="preserve">On 29 November 2023 INPEX filed an interlocutory application seeking that ANIP be required to give discovery of various documents including organisational charts of </w:t>
      </w:r>
      <w:r w:rsidR="00474E63">
        <w:t xml:space="preserve">the </w:t>
      </w:r>
      <w:r>
        <w:t>ANIP</w:t>
      </w:r>
      <w:r w:rsidR="00474E63">
        <w:t xml:space="preserve"> group</w:t>
      </w:r>
      <w:r>
        <w:t>, documents related to internal decision-making within ANIP, documents related to ANIP's Australian projects, documents concerning employment of specified personnel in ANIP, documents related to service</w:t>
      </w:r>
      <w:r w:rsidR="005D75A5">
        <w:t>s</w:t>
      </w:r>
      <w:r>
        <w:t xml:space="preserve"> </w:t>
      </w:r>
      <w:r w:rsidR="00276E1A">
        <w:t xml:space="preserve">provided </w:t>
      </w:r>
      <w:r>
        <w:t>by ANIP and documents related to ANIP's Key Account Manager Team</w:t>
      </w:r>
      <w:r w:rsidR="00265D3B">
        <w:t xml:space="preserve">.  </w:t>
      </w:r>
      <w:r>
        <w:t>INPEX requested that this discovery be verified by an affidavit sworn in accordance with r</w:t>
      </w:r>
      <w:r w:rsidR="001D3B24">
        <w:t> </w:t>
      </w:r>
      <w:r>
        <w:t xml:space="preserve">20.22 of the </w:t>
      </w:r>
      <w:r w:rsidRPr="00817865">
        <w:rPr>
          <w:i/>
          <w:iCs/>
        </w:rPr>
        <w:t>Federal Court Rules 2011</w:t>
      </w:r>
      <w:r w:rsidRPr="00817865">
        <w:t xml:space="preserve"> (</w:t>
      </w:r>
      <w:proofErr w:type="spellStart"/>
      <w:r w:rsidRPr="00817865">
        <w:t>Cth</w:t>
      </w:r>
      <w:proofErr w:type="spellEnd"/>
      <w:r w:rsidRPr="00817865">
        <w:t>)</w:t>
      </w:r>
      <w:r w:rsidR="00265D3B">
        <w:t xml:space="preserve">.  </w:t>
      </w:r>
      <w:r w:rsidRPr="00C07D1F">
        <w:t>INPEX</w:t>
      </w:r>
      <w:r w:rsidRPr="00AB2974">
        <w:t xml:space="preserve"> </w:t>
      </w:r>
      <w:r>
        <w:t xml:space="preserve">filed a second interlocutory application seeking discovery of further documents on </w:t>
      </w:r>
      <w:r w:rsidR="00546DB2">
        <w:t>18</w:t>
      </w:r>
      <w:r w:rsidR="00474E63">
        <w:t xml:space="preserve"> </w:t>
      </w:r>
      <w:r w:rsidR="00546DB2">
        <w:t>December 2023</w:t>
      </w:r>
      <w:r w:rsidR="00265D3B">
        <w:t xml:space="preserve">.  </w:t>
      </w:r>
      <w:r>
        <w:t xml:space="preserve">These applications </w:t>
      </w:r>
      <w:r w:rsidR="00D85981">
        <w:t xml:space="preserve">(together with a discovery application brought by ANIP) </w:t>
      </w:r>
      <w:r>
        <w:t xml:space="preserve">were </w:t>
      </w:r>
      <w:r w:rsidR="00F17689">
        <w:t>managed and heard together</w:t>
      </w:r>
      <w:r w:rsidR="00265D3B">
        <w:t>.</w:t>
      </w:r>
    </w:p>
    <w:p w14:paraId="0BB9B30E" w14:textId="2305E440" w:rsidR="00FF62CC" w:rsidRDefault="00F17689" w:rsidP="0055184E">
      <w:pPr>
        <w:pStyle w:val="ParaNumbering"/>
        <w:tabs>
          <w:tab w:val="clear" w:pos="720"/>
        </w:tabs>
      </w:pPr>
      <w:r>
        <w:t xml:space="preserve">A major issue that </w:t>
      </w:r>
      <w:r w:rsidR="0010582E">
        <w:t xml:space="preserve">arose </w:t>
      </w:r>
      <w:r w:rsidR="00B62C48">
        <w:t xml:space="preserve">during the progress of the applications </w:t>
      </w:r>
      <w:r w:rsidR="0055184E">
        <w:t xml:space="preserve">was </w:t>
      </w:r>
      <w:r w:rsidR="00CA4EAE">
        <w:t xml:space="preserve">the apparent deletion by ANIP </w:t>
      </w:r>
      <w:r w:rsidR="005E5B91">
        <w:t>of the</w:t>
      </w:r>
      <w:r w:rsidR="005E5B91" w:rsidRPr="00700E68">
        <w:t xml:space="preserve"> </w:t>
      </w:r>
      <w:r w:rsidR="005E5B91">
        <w:t xml:space="preserve">electronic </w:t>
      </w:r>
      <w:r w:rsidR="005E5B91" w:rsidRPr="00700E68">
        <w:t>mailboxes</w:t>
      </w:r>
      <w:r w:rsidR="005E5B91">
        <w:t xml:space="preserve"> of certain members of ANIP's executive committee</w:t>
      </w:r>
      <w:r w:rsidR="00265D3B">
        <w:t xml:space="preserve">.  </w:t>
      </w:r>
      <w:r w:rsidR="00FF62CC" w:rsidRPr="00C07D1F">
        <w:t xml:space="preserve">INPEX </w:t>
      </w:r>
      <w:r w:rsidR="00796B8F">
        <w:t>said</w:t>
      </w:r>
      <w:r w:rsidR="00FF62CC" w:rsidRPr="00C07D1F">
        <w:t xml:space="preserve"> that ANIP </w:t>
      </w:r>
      <w:r w:rsidR="00FF62CC">
        <w:t xml:space="preserve">had first </w:t>
      </w:r>
      <w:r w:rsidR="00FF62CC" w:rsidRPr="00C07D1F">
        <w:t xml:space="preserve">notified it on 8 March 2024 that the mailboxes had been deleted and </w:t>
      </w:r>
      <w:r w:rsidR="00FF62CC">
        <w:t xml:space="preserve">had </w:t>
      </w:r>
      <w:r w:rsidR="00FF62CC" w:rsidRPr="00C07D1F">
        <w:t xml:space="preserve">provided </w:t>
      </w:r>
      <w:r w:rsidR="00FF62CC">
        <w:t xml:space="preserve">it with </w:t>
      </w:r>
      <w:r w:rsidR="00FF62CC" w:rsidRPr="00C07D1F">
        <w:t>no information on the circumstances surrounding the deletions</w:t>
      </w:r>
      <w:r w:rsidR="00265D3B">
        <w:t xml:space="preserve">.  </w:t>
      </w:r>
      <w:r w:rsidR="00FF62CC">
        <w:t>The mailboxes were described by ANIP as being 'unavailable' or having 'ceased to be held'</w:t>
      </w:r>
      <w:r w:rsidR="00265D3B">
        <w:t>.</w:t>
      </w:r>
    </w:p>
    <w:p w14:paraId="55ECA04E" w14:textId="36E0EF5B" w:rsidR="00420BEC" w:rsidRDefault="005E5B91" w:rsidP="0055184E">
      <w:pPr>
        <w:pStyle w:val="ParaNumbering"/>
        <w:tabs>
          <w:tab w:val="clear" w:pos="720"/>
        </w:tabs>
      </w:pPr>
      <w:r>
        <w:t xml:space="preserve">Having regard to </w:t>
      </w:r>
      <w:r w:rsidR="0077679B">
        <w:t xml:space="preserve">the significance of this </w:t>
      </w:r>
      <w:r w:rsidR="001F6AE7">
        <w:t>information</w:t>
      </w:r>
      <w:r>
        <w:t xml:space="preserve">, </w:t>
      </w:r>
      <w:r w:rsidR="00F16DBF">
        <w:t xml:space="preserve">on 20 March </w:t>
      </w:r>
      <w:r w:rsidR="007F393C">
        <w:t xml:space="preserve">2024 </w:t>
      </w:r>
      <w:r>
        <w:t xml:space="preserve">INPEX </w:t>
      </w:r>
      <w:r w:rsidR="007F393C">
        <w:t xml:space="preserve">proposed </w:t>
      </w:r>
      <w:r w:rsidR="004D3B4B">
        <w:t xml:space="preserve">an order that </w:t>
      </w:r>
      <w:r w:rsidR="0055184E" w:rsidRPr="00700E68">
        <w:t xml:space="preserve">ANIP </w:t>
      </w:r>
      <w:r w:rsidR="004D3B4B">
        <w:t>be</w:t>
      </w:r>
      <w:r w:rsidR="0055184E" w:rsidRPr="00700E68">
        <w:t xml:space="preserve"> required to file an affidavit explaining the </w:t>
      </w:r>
      <w:r w:rsidR="00E23642">
        <w:t xml:space="preserve">relevant archiving and classification processes for </w:t>
      </w:r>
      <w:r w:rsidR="00FF62CC">
        <w:t>mailboxes</w:t>
      </w:r>
      <w:r w:rsidR="00E23642">
        <w:t xml:space="preserve"> between certain dates</w:t>
      </w:r>
      <w:r w:rsidR="00FF62CC">
        <w:t>,</w:t>
      </w:r>
      <w:r w:rsidR="00E23642">
        <w:t xml:space="preserve"> and the </w:t>
      </w:r>
      <w:r w:rsidR="0055184E" w:rsidRPr="00700E68">
        <w:t>date</w:t>
      </w:r>
      <w:r w:rsidR="00E23642">
        <w:t>s</w:t>
      </w:r>
      <w:r w:rsidR="0055184E">
        <w:t xml:space="preserve"> </w:t>
      </w:r>
      <w:r w:rsidR="0055184E" w:rsidRPr="00700E68">
        <w:t>and circumstances of the</w:t>
      </w:r>
      <w:r w:rsidR="00E23642">
        <w:t xml:space="preserve"> deletion of the </w:t>
      </w:r>
      <w:r w:rsidR="00E86850">
        <w:t>mailboxes</w:t>
      </w:r>
      <w:r w:rsidR="00E23642">
        <w:t xml:space="preserve"> of</w:t>
      </w:r>
      <w:r w:rsidR="00E23642" w:rsidRPr="00E23642">
        <w:t xml:space="preserve"> </w:t>
      </w:r>
      <w:r w:rsidR="00E23642" w:rsidRPr="00491F1A">
        <w:t xml:space="preserve">Leif Darner, Robert Molenaar, Hans </w:t>
      </w:r>
      <w:proofErr w:type="spellStart"/>
      <w:r w:rsidR="00E23642" w:rsidRPr="00491F1A">
        <w:t>Wijers</w:t>
      </w:r>
      <w:proofErr w:type="spellEnd"/>
      <w:r w:rsidR="00E23642" w:rsidRPr="00491F1A">
        <w:t>, Keith</w:t>
      </w:r>
      <w:r w:rsidR="00E23642">
        <w:t xml:space="preserve"> </w:t>
      </w:r>
      <w:r w:rsidR="00E23642" w:rsidRPr="00491F1A">
        <w:t>Nichols, Vic Fraser, Bill McPherson and Robert Taylor</w:t>
      </w:r>
      <w:r w:rsidR="008958A1">
        <w:t xml:space="preserve"> (see generally </w:t>
      </w:r>
      <w:r w:rsidR="008958A1" w:rsidRPr="008958A1">
        <w:rPr>
          <w:i/>
          <w:iCs/>
        </w:rPr>
        <w:t>INPEX (No 3)</w:t>
      </w:r>
      <w:r w:rsidR="008958A1">
        <w:t xml:space="preserve"> as to the attribution issue at [1</w:t>
      </w:r>
      <w:r w:rsidR="00E66050">
        <w:t>4</w:t>
      </w:r>
      <w:r w:rsidR="008958A1">
        <w:t>]</w:t>
      </w:r>
      <w:r w:rsidR="00E66050">
        <w:t>-[17]</w:t>
      </w:r>
      <w:r w:rsidR="008958A1">
        <w:t>)</w:t>
      </w:r>
      <w:r w:rsidR="00265D3B">
        <w:t>.</w:t>
      </w:r>
    </w:p>
    <w:p w14:paraId="62C9BBD6" w14:textId="187BC087" w:rsidR="0055184E" w:rsidRDefault="00964558" w:rsidP="0055184E">
      <w:pPr>
        <w:pStyle w:val="ParaNumbering"/>
        <w:tabs>
          <w:tab w:val="clear" w:pos="720"/>
        </w:tabs>
      </w:pPr>
      <w:r>
        <w:t xml:space="preserve">ANIP opposed INPEX's request, submitting </w:t>
      </w:r>
      <w:r w:rsidR="00420BEC">
        <w:t xml:space="preserve">(amongst other things) </w:t>
      </w:r>
      <w:r>
        <w:t xml:space="preserve">that </w:t>
      </w:r>
      <w:r>
        <w:rPr>
          <w:lang w:eastAsia="en-AU"/>
        </w:rPr>
        <w:t>such a task would be manifestly</w:t>
      </w:r>
      <w:r w:rsidR="007C7106">
        <w:rPr>
          <w:lang w:eastAsia="en-AU"/>
        </w:rPr>
        <w:t xml:space="preserve"> excessive and would require a long </w:t>
      </w:r>
      <w:r w:rsidR="00614817">
        <w:rPr>
          <w:lang w:eastAsia="en-AU"/>
        </w:rPr>
        <w:t>a</w:t>
      </w:r>
      <w:r w:rsidR="007C7106">
        <w:rPr>
          <w:lang w:eastAsia="en-AU"/>
        </w:rPr>
        <w:t>nd detailed affidavit to be prepared</w:t>
      </w:r>
      <w:r w:rsidR="00265D3B">
        <w:rPr>
          <w:lang w:eastAsia="en-AU"/>
        </w:rPr>
        <w:t xml:space="preserve">.  </w:t>
      </w:r>
      <w:r w:rsidR="00420BEC">
        <w:rPr>
          <w:lang w:eastAsia="en-AU"/>
        </w:rPr>
        <w:t>It also submitted that requiring ANIP to undertake such a course of action would not be a pragmatic way to conduct the discovery process</w:t>
      </w:r>
      <w:r w:rsidR="00265D3B">
        <w:rPr>
          <w:lang w:eastAsia="en-AU"/>
        </w:rPr>
        <w:t xml:space="preserve">.  </w:t>
      </w:r>
      <w:r w:rsidR="00D22FE6">
        <w:rPr>
          <w:lang w:eastAsia="en-AU"/>
        </w:rPr>
        <w:t>Further, t</w:t>
      </w:r>
      <w:r w:rsidR="000B21E1">
        <w:rPr>
          <w:lang w:eastAsia="en-AU"/>
        </w:rPr>
        <w:t xml:space="preserve">his was only one of a number of rulings requiring both parties to undertake </w:t>
      </w:r>
      <w:r w:rsidR="00D22FE6">
        <w:rPr>
          <w:lang w:eastAsia="en-AU"/>
        </w:rPr>
        <w:t>additional</w:t>
      </w:r>
      <w:r w:rsidR="000B21E1">
        <w:rPr>
          <w:lang w:eastAsia="en-AU"/>
        </w:rPr>
        <w:t xml:space="preserve"> </w:t>
      </w:r>
      <w:r w:rsidR="00D22FE6">
        <w:rPr>
          <w:lang w:eastAsia="en-AU"/>
        </w:rPr>
        <w:t>disclosure</w:t>
      </w:r>
      <w:r w:rsidR="000B21E1">
        <w:rPr>
          <w:lang w:eastAsia="en-AU"/>
        </w:rPr>
        <w:t xml:space="preserve"> and searches</w:t>
      </w:r>
      <w:r w:rsidR="007115D0">
        <w:rPr>
          <w:lang w:eastAsia="en-AU"/>
        </w:rPr>
        <w:t xml:space="preserve"> made</w:t>
      </w:r>
      <w:r w:rsidR="000B21E1">
        <w:rPr>
          <w:lang w:eastAsia="en-AU"/>
        </w:rPr>
        <w:t xml:space="preserve"> at </w:t>
      </w:r>
      <w:r w:rsidR="00D22FE6">
        <w:rPr>
          <w:lang w:eastAsia="en-AU"/>
        </w:rPr>
        <w:t>that</w:t>
      </w:r>
      <w:r w:rsidR="000B21E1">
        <w:rPr>
          <w:lang w:eastAsia="en-AU"/>
        </w:rPr>
        <w:t xml:space="preserve"> time.</w:t>
      </w:r>
    </w:p>
    <w:p w14:paraId="7037DB8D" w14:textId="4B9C1AF9" w:rsidR="0055184E" w:rsidRDefault="00614817" w:rsidP="0055184E">
      <w:pPr>
        <w:pStyle w:val="ParaNumbering"/>
        <w:tabs>
          <w:tab w:val="clear" w:pos="720"/>
        </w:tabs>
      </w:pPr>
      <w:r>
        <w:lastRenderedPageBreak/>
        <w:t xml:space="preserve">Having regard to </w:t>
      </w:r>
      <w:r w:rsidR="003553E3">
        <w:t xml:space="preserve">ANIP's </w:t>
      </w:r>
      <w:r>
        <w:t>argument</w:t>
      </w:r>
      <w:r w:rsidR="00B134CC">
        <w:t>s</w:t>
      </w:r>
      <w:r>
        <w:t xml:space="preserve"> as to 'manifest </w:t>
      </w:r>
      <w:r w:rsidR="006A5A09">
        <w:t>ex</w:t>
      </w:r>
      <w:r w:rsidR="007123B3">
        <w:t>c</w:t>
      </w:r>
      <w:r w:rsidR="006A5A09">
        <w:t>essiveness</w:t>
      </w:r>
      <w:r>
        <w:t>'</w:t>
      </w:r>
      <w:r w:rsidR="0032333F">
        <w:t xml:space="preserve"> and the need for a long affidavit</w:t>
      </w:r>
      <w:r w:rsidR="007123B3">
        <w:t xml:space="preserve">, </w:t>
      </w:r>
      <w:r w:rsidR="00EE161E">
        <w:t xml:space="preserve">and the inference that </w:t>
      </w:r>
      <w:r w:rsidR="007747F3">
        <w:t xml:space="preserve">there was </w:t>
      </w:r>
      <w:r w:rsidR="00A5021D">
        <w:t xml:space="preserve">a considerable quantity of information to be disclosed, </w:t>
      </w:r>
      <w:r w:rsidR="007123B3">
        <w:t>I</w:t>
      </w:r>
      <w:r>
        <w:t xml:space="preserve"> </w:t>
      </w:r>
      <w:r w:rsidR="007123B3">
        <w:t xml:space="preserve">considered </w:t>
      </w:r>
      <w:r>
        <w:t>a</w:t>
      </w:r>
      <w:r w:rsidR="007123B3">
        <w:t>n efficient response in the circumstances</w:t>
      </w:r>
      <w:r>
        <w:t xml:space="preserve"> was to </w:t>
      </w:r>
      <w:r w:rsidR="006A5A09">
        <w:t>require</w:t>
      </w:r>
      <w:r w:rsidR="008B02A0">
        <w:t xml:space="preserve"> ANIP to provide</w:t>
      </w:r>
      <w:r>
        <w:t xml:space="preserve"> </w:t>
      </w:r>
      <w:r w:rsidR="006A5A09">
        <w:t>an</w:t>
      </w:r>
      <w:r>
        <w:t xml:space="preserve"> </w:t>
      </w:r>
      <w:r w:rsidR="006A5A09">
        <w:t>affidavit</w:t>
      </w:r>
      <w:r w:rsidR="00D22FE6">
        <w:t xml:space="preserve"> as requested by INPEX</w:t>
      </w:r>
      <w:r w:rsidR="007123B3">
        <w:t>,</w:t>
      </w:r>
      <w:r>
        <w:t xml:space="preserve"> but to permit it to be </w:t>
      </w:r>
      <w:r w:rsidR="006A5A09">
        <w:t>sworn</w:t>
      </w:r>
      <w:r>
        <w:t xml:space="preserve"> by the deponent on the basis of their </w:t>
      </w:r>
      <w:r w:rsidR="006A5A09">
        <w:t>knowledge and belief</w:t>
      </w:r>
      <w:r w:rsidR="00265D3B">
        <w:t xml:space="preserve">.  </w:t>
      </w:r>
      <w:r w:rsidR="0042077A">
        <w:t xml:space="preserve">Such </w:t>
      </w:r>
      <w:r w:rsidR="004024F7">
        <w:t>a course</w:t>
      </w:r>
      <w:r w:rsidR="00E5171F">
        <w:t xml:space="preserve"> does not abrogate </w:t>
      </w:r>
      <w:r w:rsidR="004024F7">
        <w:t xml:space="preserve">the responsibility of </w:t>
      </w:r>
      <w:r w:rsidR="00E5171F">
        <w:t>a deponent from disclosing the basis of their knowledge and belief</w:t>
      </w:r>
      <w:r w:rsidR="00265D3B">
        <w:t xml:space="preserve">.  </w:t>
      </w:r>
      <w:r w:rsidR="00FF1379">
        <w:t xml:space="preserve">One reason such disclosure is required is so that the </w:t>
      </w:r>
      <w:r w:rsidR="004D0B05">
        <w:t>basis</w:t>
      </w:r>
      <w:r w:rsidR="00FF1379">
        <w:t xml:space="preserve"> can be tested if required</w:t>
      </w:r>
      <w:r w:rsidR="00265D3B">
        <w:t>.</w:t>
      </w:r>
    </w:p>
    <w:p w14:paraId="2D6C9EC3" w14:textId="3D7FD05D" w:rsidR="00E5171F" w:rsidRDefault="00EC65C9" w:rsidP="0055184E">
      <w:pPr>
        <w:pStyle w:val="ParaNumbering"/>
      </w:pPr>
      <w:r>
        <w:t>Accordingly, o</w:t>
      </w:r>
      <w:r w:rsidR="006B06DD">
        <w:t xml:space="preserve">n </w:t>
      </w:r>
      <w:r w:rsidR="00E5171F">
        <w:t xml:space="preserve">15 May 2024 I ordered that </w:t>
      </w:r>
      <w:r w:rsidR="00966C7A">
        <w:t>the respondents (ANIP)</w:t>
      </w:r>
      <w:r w:rsidR="00E5171F">
        <w:t xml:space="preserve"> file and serve an affidavit </w:t>
      </w:r>
      <w:r w:rsidR="00E5171F">
        <w:rPr>
          <w:rFonts w:ascii="TimesNewRomanPSMT" w:hAnsi="TimesNewRomanPSMT" w:cs="TimesNewRomanPSMT"/>
          <w:szCs w:val="24"/>
          <w:lang w:eastAsia="en-AU"/>
        </w:rPr>
        <w:t>explaining the dates of and the circumstances regarding the deletion of the mailboxes</w:t>
      </w:r>
      <w:r w:rsidR="00E5171F">
        <w:t xml:space="preserve"> </w:t>
      </w:r>
      <w:r w:rsidR="00E5171F" w:rsidRPr="00491F1A">
        <w:t xml:space="preserve">of Leif Darner, Robert Molenaar, Hans </w:t>
      </w:r>
      <w:proofErr w:type="spellStart"/>
      <w:r w:rsidR="00E5171F" w:rsidRPr="00491F1A">
        <w:t>Wijers</w:t>
      </w:r>
      <w:proofErr w:type="spellEnd"/>
      <w:r w:rsidR="00E5171F" w:rsidRPr="00491F1A">
        <w:t>, Keith</w:t>
      </w:r>
      <w:r w:rsidR="00E5171F">
        <w:t xml:space="preserve"> </w:t>
      </w:r>
      <w:r w:rsidR="00E5171F" w:rsidRPr="00491F1A">
        <w:t>Nichols, Vic Fraser, Bill McPherson and Robert Taylor</w:t>
      </w:r>
      <w:r w:rsidR="00265D3B">
        <w:t>.</w:t>
      </w:r>
    </w:p>
    <w:p w14:paraId="6729324F" w14:textId="6E04970F" w:rsidR="008B5755" w:rsidRDefault="00EC65C9" w:rsidP="00F55421">
      <w:pPr>
        <w:pStyle w:val="ParaNumbering"/>
        <w:rPr>
          <w:lang w:eastAsia="en-AU"/>
        </w:rPr>
      </w:pPr>
      <w:r>
        <w:rPr>
          <w:lang w:eastAsia="en-AU"/>
        </w:rPr>
        <w:t xml:space="preserve">As is apparent, </w:t>
      </w:r>
      <w:r>
        <w:t>I did not specify who should depose any affidavit</w:t>
      </w:r>
      <w:r w:rsidR="00265D3B">
        <w:t xml:space="preserve">.  </w:t>
      </w:r>
      <w:r w:rsidR="00F55421">
        <w:rPr>
          <w:lang w:eastAsia="en-AU"/>
        </w:rPr>
        <w:t xml:space="preserve">ANIP elected to have the affidavit sworn by </w:t>
      </w:r>
      <w:r w:rsidR="00232F19">
        <w:rPr>
          <w:lang w:eastAsia="en-AU"/>
        </w:rPr>
        <w:t>Ms </w:t>
      </w:r>
      <w:r w:rsidR="00F55421">
        <w:rPr>
          <w:lang w:eastAsia="en-AU"/>
        </w:rPr>
        <w:t>Lancaster</w:t>
      </w:r>
      <w:r w:rsidR="00265D3B">
        <w:rPr>
          <w:lang w:eastAsia="en-AU"/>
        </w:rPr>
        <w:t xml:space="preserve">.  </w:t>
      </w:r>
      <w:r w:rsidR="00E0466B">
        <w:rPr>
          <w:lang w:eastAsia="en-AU"/>
        </w:rPr>
        <w:t>Indeed,</w:t>
      </w:r>
      <w:r w:rsidR="00037920">
        <w:rPr>
          <w:lang w:eastAsia="en-AU"/>
        </w:rPr>
        <w:t xml:space="preserve"> it later emerged </w:t>
      </w:r>
      <w:r w:rsidR="00F849FA">
        <w:rPr>
          <w:lang w:eastAsia="en-AU"/>
        </w:rPr>
        <w:t xml:space="preserve">from </w:t>
      </w:r>
      <w:r w:rsidR="00232F19">
        <w:rPr>
          <w:lang w:eastAsia="en-AU"/>
        </w:rPr>
        <w:t>Ms </w:t>
      </w:r>
      <w:r w:rsidR="00F849FA">
        <w:rPr>
          <w:lang w:eastAsia="en-AU"/>
        </w:rPr>
        <w:t>Lancaster's cross</w:t>
      </w:r>
      <w:r w:rsidR="00232F19">
        <w:rPr>
          <w:lang w:eastAsia="en-AU"/>
        </w:rPr>
        <w:noBreakHyphen/>
      </w:r>
      <w:r w:rsidR="00F849FA">
        <w:rPr>
          <w:lang w:eastAsia="en-AU"/>
        </w:rPr>
        <w:t xml:space="preserve">examination </w:t>
      </w:r>
      <w:r w:rsidR="00037920">
        <w:rPr>
          <w:lang w:eastAsia="en-AU"/>
        </w:rPr>
        <w:t xml:space="preserve">that </w:t>
      </w:r>
      <w:r w:rsidR="00F849FA">
        <w:rPr>
          <w:lang w:eastAsia="en-AU"/>
        </w:rPr>
        <w:t xml:space="preserve">ANIP had </w:t>
      </w:r>
      <w:r w:rsidR="00C146E2">
        <w:rPr>
          <w:lang w:eastAsia="en-AU"/>
        </w:rPr>
        <w:t xml:space="preserve">initially </w:t>
      </w:r>
      <w:r w:rsidR="00F849FA">
        <w:rPr>
          <w:lang w:eastAsia="en-AU"/>
        </w:rPr>
        <w:t>intended</w:t>
      </w:r>
      <w:r w:rsidR="008B5755">
        <w:rPr>
          <w:lang w:eastAsia="en-AU"/>
        </w:rPr>
        <w:t xml:space="preserve"> that </w:t>
      </w:r>
      <w:r w:rsidR="00DE08A3">
        <w:rPr>
          <w:lang w:eastAsia="en-AU"/>
        </w:rPr>
        <w:t xml:space="preserve">a person described as a 'technical subject </w:t>
      </w:r>
      <w:r w:rsidR="008B5755">
        <w:rPr>
          <w:lang w:eastAsia="en-AU"/>
        </w:rPr>
        <w:t>matter expert' (Mr</w:t>
      </w:r>
      <w:r w:rsidR="00232F19">
        <w:rPr>
          <w:lang w:eastAsia="en-AU"/>
        </w:rPr>
        <w:t> </w:t>
      </w:r>
      <w:r w:rsidR="008B5755">
        <w:rPr>
          <w:lang w:eastAsia="en-AU"/>
        </w:rPr>
        <w:t xml:space="preserve">Gutierrez) </w:t>
      </w:r>
      <w:r w:rsidR="00C146E2">
        <w:rPr>
          <w:lang w:eastAsia="en-AU"/>
        </w:rPr>
        <w:t xml:space="preserve">would </w:t>
      </w:r>
      <w:r w:rsidR="008B5755">
        <w:rPr>
          <w:lang w:eastAsia="en-AU"/>
        </w:rPr>
        <w:t>provide the affidavit</w:t>
      </w:r>
      <w:r w:rsidR="00265D3B">
        <w:rPr>
          <w:lang w:eastAsia="en-AU"/>
        </w:rPr>
        <w:t xml:space="preserve">.  </w:t>
      </w:r>
      <w:r w:rsidR="003E3E39">
        <w:rPr>
          <w:lang w:eastAsia="en-AU"/>
        </w:rPr>
        <w:t>It was ANIP's choice as to who might provide the evidence.</w:t>
      </w:r>
    </w:p>
    <w:p w14:paraId="28A8BE1C" w14:textId="271C8147" w:rsidR="00633599" w:rsidRDefault="00633599" w:rsidP="00633599">
      <w:pPr>
        <w:pStyle w:val="Heading3"/>
        <w:rPr>
          <w:lang w:eastAsia="en-AU"/>
        </w:rPr>
      </w:pPr>
      <w:r>
        <w:rPr>
          <w:lang w:eastAsia="en-AU"/>
        </w:rPr>
        <w:t>Lancaster affidavit</w:t>
      </w:r>
    </w:p>
    <w:p w14:paraId="6C4ADF69" w14:textId="787F8124" w:rsidR="00F55421" w:rsidRDefault="00232F19" w:rsidP="00F55421">
      <w:pPr>
        <w:pStyle w:val="ParaNumbering"/>
        <w:rPr>
          <w:lang w:eastAsia="en-AU"/>
        </w:rPr>
      </w:pPr>
      <w:r>
        <w:rPr>
          <w:lang w:eastAsia="en-AU"/>
        </w:rPr>
        <w:t>Ms </w:t>
      </w:r>
      <w:r w:rsidR="00331732">
        <w:rPr>
          <w:lang w:eastAsia="en-AU"/>
        </w:rPr>
        <w:t>Lancaster's affidavit</w:t>
      </w:r>
      <w:r w:rsidR="00D119E1">
        <w:rPr>
          <w:lang w:eastAsia="en-AU"/>
        </w:rPr>
        <w:t xml:space="preserve"> was filed on 12 June 2024</w:t>
      </w:r>
      <w:r w:rsidR="00216A9B">
        <w:rPr>
          <w:lang w:eastAsia="en-AU"/>
        </w:rPr>
        <w:t>, and contains 18 paragraphs</w:t>
      </w:r>
      <w:r w:rsidR="00D119E1">
        <w:rPr>
          <w:lang w:eastAsia="en-AU"/>
        </w:rPr>
        <w:t>.</w:t>
      </w:r>
    </w:p>
    <w:p w14:paraId="53053618" w14:textId="283D6B88" w:rsidR="00F55421" w:rsidRDefault="00232F19" w:rsidP="008B1C14">
      <w:pPr>
        <w:pStyle w:val="ParaNumbering"/>
        <w:rPr>
          <w:lang w:eastAsia="en-AU"/>
        </w:rPr>
      </w:pPr>
      <w:r>
        <w:rPr>
          <w:lang w:eastAsia="en-AU"/>
        </w:rPr>
        <w:t>Ms </w:t>
      </w:r>
      <w:r w:rsidR="00F55421">
        <w:rPr>
          <w:lang w:eastAsia="en-AU"/>
        </w:rPr>
        <w:t>Lancaster deposed</w:t>
      </w:r>
      <w:r w:rsidR="00C5724C">
        <w:rPr>
          <w:lang w:eastAsia="en-AU"/>
        </w:rPr>
        <w:t xml:space="preserve"> at para 3</w:t>
      </w:r>
      <w:r w:rsidR="00F55421">
        <w:rPr>
          <w:lang w:eastAsia="en-AU"/>
        </w:rPr>
        <w:t>:</w:t>
      </w:r>
    </w:p>
    <w:p w14:paraId="381F3B49" w14:textId="1012578B" w:rsidR="005A28F8" w:rsidRDefault="00F55421" w:rsidP="008B1C14">
      <w:pPr>
        <w:pStyle w:val="Quote1"/>
        <w:spacing w:after="360"/>
        <w:rPr>
          <w:lang w:eastAsia="en-AU"/>
        </w:rPr>
      </w:pPr>
      <w:r>
        <w:rPr>
          <w:lang w:eastAsia="en-AU"/>
        </w:rPr>
        <w:t>Each of the matters to which I depose in this affidavit is true to the best of my knowledge, information and belief</w:t>
      </w:r>
      <w:r w:rsidR="00265D3B">
        <w:rPr>
          <w:lang w:eastAsia="en-AU"/>
        </w:rPr>
        <w:t xml:space="preserve">.  </w:t>
      </w:r>
      <w:r>
        <w:rPr>
          <w:lang w:eastAsia="en-AU"/>
        </w:rPr>
        <w:t xml:space="preserve">Where statements are not made from my own personal knowledge, I believe them to be true to the best of my information and belief, I have made them after due </w:t>
      </w:r>
      <w:proofErr w:type="gramStart"/>
      <w:r>
        <w:rPr>
          <w:lang w:eastAsia="en-AU"/>
        </w:rPr>
        <w:t>inquiry</w:t>
      </w:r>
      <w:proofErr w:type="gramEnd"/>
      <w:r>
        <w:rPr>
          <w:lang w:eastAsia="en-AU"/>
        </w:rPr>
        <w:t xml:space="preserve"> and I have set out the sources of my belief</w:t>
      </w:r>
      <w:r w:rsidR="00921E6F">
        <w:rPr>
          <w:lang w:eastAsia="en-AU"/>
        </w:rPr>
        <w:t>.</w:t>
      </w:r>
    </w:p>
    <w:p w14:paraId="0EFC2FD2" w14:textId="2762743F" w:rsidR="009E0B8F" w:rsidRDefault="004B0704" w:rsidP="008B1C14">
      <w:pPr>
        <w:pStyle w:val="ParaNumbering"/>
        <w:spacing w:after="480"/>
        <w:rPr>
          <w:lang w:eastAsia="en-AU"/>
        </w:rPr>
      </w:pPr>
      <w:r>
        <w:rPr>
          <w:lang w:eastAsia="en-AU"/>
        </w:rPr>
        <w:t xml:space="preserve">In </w:t>
      </w:r>
      <w:r w:rsidRPr="004B0704">
        <w:rPr>
          <w:i/>
          <w:iCs/>
          <w:lang w:eastAsia="en-AU"/>
        </w:rPr>
        <w:t>INPEX (</w:t>
      </w:r>
      <w:r>
        <w:rPr>
          <w:i/>
          <w:iCs/>
          <w:lang w:eastAsia="en-AU"/>
        </w:rPr>
        <w:t>N</w:t>
      </w:r>
      <w:r w:rsidRPr="004B0704">
        <w:rPr>
          <w:i/>
          <w:iCs/>
          <w:lang w:eastAsia="en-AU"/>
        </w:rPr>
        <w:t xml:space="preserve">o 3) </w:t>
      </w:r>
      <w:r>
        <w:rPr>
          <w:lang w:eastAsia="en-AU"/>
        </w:rPr>
        <w:t xml:space="preserve">I referred to </w:t>
      </w:r>
      <w:r w:rsidR="00232F19">
        <w:rPr>
          <w:lang w:eastAsia="en-AU"/>
        </w:rPr>
        <w:t>Ms </w:t>
      </w:r>
      <w:r>
        <w:rPr>
          <w:lang w:eastAsia="en-AU"/>
        </w:rPr>
        <w:t>Lancaster's affidavit</w:t>
      </w:r>
      <w:r w:rsidR="00684D80">
        <w:rPr>
          <w:lang w:eastAsia="en-AU"/>
        </w:rPr>
        <w:t>:</w:t>
      </w:r>
      <w:r w:rsidR="00CB0205">
        <w:rPr>
          <w:lang w:eastAsia="en-AU"/>
        </w:rPr>
        <w:t xml:space="preserve"> </w:t>
      </w:r>
      <w:r w:rsidR="00684D80">
        <w:rPr>
          <w:lang w:eastAsia="en-AU"/>
        </w:rPr>
        <w:t>[</w:t>
      </w:r>
      <w:r w:rsidR="003D3BCF">
        <w:rPr>
          <w:lang w:eastAsia="en-AU"/>
        </w:rPr>
        <w:t>49], [50]</w:t>
      </w:r>
      <w:r w:rsidR="0098319A">
        <w:rPr>
          <w:lang w:eastAsia="en-AU"/>
        </w:rPr>
        <w:t>, [110]-[</w:t>
      </w:r>
      <w:r w:rsidR="00503643">
        <w:rPr>
          <w:lang w:eastAsia="en-AU"/>
        </w:rPr>
        <w:t>115]</w:t>
      </w:r>
      <w:r w:rsidR="00265D3B">
        <w:rPr>
          <w:lang w:eastAsia="en-AU"/>
        </w:rPr>
        <w:t xml:space="preserve">.  </w:t>
      </w:r>
      <w:r w:rsidR="009E0B8F">
        <w:rPr>
          <w:lang w:eastAsia="en-AU"/>
        </w:rPr>
        <w:t xml:space="preserve">For convenience I </w:t>
      </w:r>
      <w:r w:rsidR="00503643">
        <w:rPr>
          <w:lang w:eastAsia="en-AU"/>
        </w:rPr>
        <w:t xml:space="preserve">extract </w:t>
      </w:r>
      <w:r w:rsidR="00CB0205">
        <w:rPr>
          <w:lang w:eastAsia="en-AU"/>
        </w:rPr>
        <w:t>pertinent</w:t>
      </w:r>
      <w:r w:rsidR="00503643">
        <w:rPr>
          <w:lang w:eastAsia="en-AU"/>
        </w:rPr>
        <w:t xml:space="preserve"> paragraphs:</w:t>
      </w:r>
    </w:p>
    <w:p w14:paraId="4F1AF953" w14:textId="65323527" w:rsidR="00541868" w:rsidRDefault="00541868" w:rsidP="00541868">
      <w:pPr>
        <w:pStyle w:val="Quote1"/>
        <w:ind w:left="1440" w:hanging="703"/>
        <w:rPr>
          <w:lang w:eastAsia="en-AU"/>
        </w:rPr>
      </w:pPr>
      <w:r>
        <w:rPr>
          <w:lang w:eastAsia="en-AU"/>
        </w:rPr>
        <w:t>[11</w:t>
      </w:r>
      <w:r w:rsidR="00230E9A">
        <w:rPr>
          <w:lang w:eastAsia="en-AU"/>
        </w:rPr>
        <w:t>1]</w:t>
      </w:r>
      <w:r w:rsidR="00A60811">
        <w:rPr>
          <w:lang w:eastAsia="en-AU"/>
        </w:rPr>
        <w:tab/>
      </w:r>
      <w:r>
        <w:rPr>
          <w:lang w:eastAsia="en-AU"/>
        </w:rPr>
        <w:t xml:space="preserve">With respect, </w:t>
      </w:r>
      <w:r w:rsidR="00232F19">
        <w:rPr>
          <w:lang w:eastAsia="en-AU"/>
        </w:rPr>
        <w:t>Ms </w:t>
      </w:r>
      <w:r>
        <w:rPr>
          <w:lang w:eastAsia="en-AU"/>
        </w:rPr>
        <w:t>Lancaster's evidence is of a general nature and does not descend into any great detail, having regard to the significance of the apparent loss or deletion of a body of communications involving senior people</w:t>
      </w:r>
      <w:r w:rsidR="00265D3B">
        <w:rPr>
          <w:lang w:eastAsia="en-AU"/>
        </w:rPr>
        <w:t xml:space="preserve">.  </w:t>
      </w:r>
      <w:r w:rsidR="00230E9A">
        <w:rPr>
          <w:lang w:eastAsia="en-AU"/>
        </w:rPr>
        <w:t>…</w:t>
      </w:r>
    </w:p>
    <w:p w14:paraId="003273D9" w14:textId="54D0BA0F" w:rsidR="00541868" w:rsidRDefault="00541868" w:rsidP="00541868">
      <w:pPr>
        <w:pStyle w:val="Quote1"/>
        <w:ind w:left="1440" w:hanging="703"/>
        <w:rPr>
          <w:lang w:eastAsia="en-AU"/>
        </w:rPr>
      </w:pPr>
      <w:r>
        <w:rPr>
          <w:lang w:eastAsia="en-AU"/>
        </w:rPr>
        <w:t>[112]</w:t>
      </w:r>
      <w:r w:rsidR="00A60811">
        <w:rPr>
          <w:lang w:eastAsia="en-AU"/>
        </w:rPr>
        <w:tab/>
      </w:r>
      <w:r w:rsidR="00232F19">
        <w:rPr>
          <w:lang w:eastAsia="en-AU"/>
        </w:rPr>
        <w:t>Ms </w:t>
      </w:r>
      <w:r>
        <w:rPr>
          <w:lang w:eastAsia="en-AU"/>
        </w:rPr>
        <w:t>Lancaster deposes to the end date of 2015 being relevant, because key named persons ceased employment with the various entities in the AkzoNobel group prior to that time</w:t>
      </w:r>
      <w:r w:rsidR="00265D3B">
        <w:rPr>
          <w:lang w:eastAsia="en-AU"/>
        </w:rPr>
        <w:t xml:space="preserve">.  </w:t>
      </w:r>
      <w:r w:rsidR="00232F19">
        <w:rPr>
          <w:b/>
          <w:bCs/>
          <w:lang w:eastAsia="en-AU"/>
        </w:rPr>
        <w:t>Ms </w:t>
      </w:r>
      <w:r w:rsidRPr="001D4F13">
        <w:rPr>
          <w:b/>
          <w:bCs/>
          <w:lang w:eastAsia="en-AU"/>
        </w:rPr>
        <w:t>Lancaster states that she was informed by Mr</w:t>
      </w:r>
      <w:r w:rsidR="00232F19">
        <w:rPr>
          <w:b/>
          <w:bCs/>
          <w:lang w:eastAsia="en-AU"/>
        </w:rPr>
        <w:t> </w:t>
      </w:r>
      <w:r w:rsidRPr="001D4F13">
        <w:rPr>
          <w:b/>
          <w:bCs/>
          <w:lang w:eastAsia="en-AU"/>
        </w:rPr>
        <w:t>Adolfo Gutierrez,</w:t>
      </w:r>
      <w:r>
        <w:rPr>
          <w:lang w:eastAsia="en-AU"/>
        </w:rPr>
        <w:t xml:space="preserve"> the Domain Lead Cybersecurity Risk and Compliance Manager within the AkzoNobel group, that the group currently uses Microsoft </w:t>
      </w:r>
      <w:r>
        <w:rPr>
          <w:lang w:eastAsia="en-AU"/>
        </w:rPr>
        <w:lastRenderedPageBreak/>
        <w:t>Office 365 and Deloitte has access to the platform</w:t>
      </w:r>
      <w:r w:rsidR="00265D3B">
        <w:rPr>
          <w:lang w:eastAsia="en-AU"/>
        </w:rPr>
        <w:t xml:space="preserve">.  </w:t>
      </w:r>
      <w:r w:rsidR="00232F19">
        <w:rPr>
          <w:b/>
          <w:bCs/>
          <w:lang w:eastAsia="en-AU"/>
        </w:rPr>
        <w:t>Ms </w:t>
      </w:r>
      <w:r w:rsidRPr="001D4F13">
        <w:rPr>
          <w:b/>
          <w:bCs/>
          <w:lang w:eastAsia="en-AU"/>
        </w:rPr>
        <w:t>Lancaster states that she was informed by Mr Wajahat Syed</w:t>
      </w:r>
      <w:r>
        <w:rPr>
          <w:lang w:eastAsia="en-AU"/>
        </w:rPr>
        <w:t>, who leads the IT team responsible for managing the Office 365 platform across the AkzoNobel group, that he and his team have been unable to find email content for the relevant employees on Office 365.</w:t>
      </w:r>
    </w:p>
    <w:p w14:paraId="639B93E8" w14:textId="07E2BBA2" w:rsidR="00541868" w:rsidRDefault="001A5454" w:rsidP="001A5454">
      <w:pPr>
        <w:pStyle w:val="Quote1"/>
        <w:ind w:left="1440" w:hanging="703"/>
        <w:rPr>
          <w:lang w:eastAsia="en-AU"/>
        </w:rPr>
      </w:pPr>
      <w:r>
        <w:rPr>
          <w:lang w:eastAsia="en-AU"/>
        </w:rPr>
        <w:t>[</w:t>
      </w:r>
      <w:r w:rsidR="00541868">
        <w:rPr>
          <w:lang w:eastAsia="en-AU"/>
        </w:rPr>
        <w:t>113</w:t>
      </w:r>
      <w:r>
        <w:rPr>
          <w:lang w:eastAsia="en-AU"/>
        </w:rPr>
        <w:t>]</w:t>
      </w:r>
      <w:r w:rsidR="00A60811">
        <w:rPr>
          <w:lang w:eastAsia="en-AU"/>
        </w:rPr>
        <w:tab/>
      </w:r>
      <w:r w:rsidR="00541868">
        <w:rPr>
          <w:lang w:eastAsia="en-AU"/>
        </w:rPr>
        <w:t xml:space="preserve">In summary, </w:t>
      </w:r>
      <w:r w:rsidR="00232F19">
        <w:rPr>
          <w:lang w:eastAsia="en-AU"/>
        </w:rPr>
        <w:t>Ms </w:t>
      </w:r>
      <w:r w:rsidR="00541868">
        <w:rPr>
          <w:lang w:eastAsia="en-AU"/>
        </w:rPr>
        <w:t>Lancaster deposes to the effect that the 'most likely reason' the mailboxes were not found or deleted is because they were not migrated to Office 365</w:t>
      </w:r>
      <w:r w:rsidR="00265D3B">
        <w:rPr>
          <w:lang w:eastAsia="en-AU"/>
        </w:rPr>
        <w:t xml:space="preserve">.  </w:t>
      </w:r>
      <w:r w:rsidR="00541868" w:rsidRPr="00A00635">
        <w:rPr>
          <w:b/>
          <w:bCs/>
          <w:lang w:eastAsia="en-AU"/>
        </w:rPr>
        <w:t xml:space="preserve">Alternatively, </w:t>
      </w:r>
      <w:r w:rsidR="00232F19">
        <w:rPr>
          <w:b/>
          <w:bCs/>
          <w:lang w:eastAsia="en-AU"/>
        </w:rPr>
        <w:t>Ms </w:t>
      </w:r>
      <w:r w:rsidR="00541868" w:rsidRPr="00A00635">
        <w:rPr>
          <w:b/>
          <w:bCs/>
          <w:lang w:eastAsia="en-AU"/>
        </w:rPr>
        <w:t xml:space="preserve">Lancaster said that Mr Gutierrez had informed her </w:t>
      </w:r>
      <w:r w:rsidR="00541868">
        <w:rPr>
          <w:lang w:eastAsia="en-AU"/>
        </w:rPr>
        <w:t>that there was a possibility that the mailboxes were 'lost' before the Office 365 migration because at the relevant time email inbox sizes 'were very limited' and 'employees needed to regularly manually delete or archive their own mailboxes'</w:t>
      </w:r>
      <w:r w:rsidR="00265D3B">
        <w:rPr>
          <w:lang w:eastAsia="en-AU"/>
        </w:rPr>
        <w:t xml:space="preserve">.  </w:t>
      </w:r>
      <w:r w:rsidR="00232F19">
        <w:rPr>
          <w:lang w:eastAsia="en-AU"/>
        </w:rPr>
        <w:t>Ms </w:t>
      </w:r>
      <w:r w:rsidR="00541868">
        <w:rPr>
          <w:lang w:eastAsia="en-AU"/>
        </w:rPr>
        <w:t>Lancaster states that she believes based on her own experience and on information from Mr Gutierrez that the AkzoNobel group migrated to Office 365 'between around 2016 and 2018'</w:t>
      </w:r>
      <w:r w:rsidR="00265D3B">
        <w:rPr>
          <w:lang w:eastAsia="en-AU"/>
        </w:rPr>
        <w:t xml:space="preserve">.  </w:t>
      </w:r>
      <w:r w:rsidR="00541868" w:rsidRPr="00837403">
        <w:rPr>
          <w:b/>
          <w:bCs/>
          <w:lang w:eastAsia="en-AU"/>
        </w:rPr>
        <w:t>Mr Gutierrez told her that in order to manage costs the key focus of the migration was to transfer active user mailboxes</w:t>
      </w:r>
      <w:r w:rsidR="00265D3B" w:rsidRPr="00232F19">
        <w:rPr>
          <w:lang w:eastAsia="en-AU"/>
        </w:rPr>
        <w:t xml:space="preserve">.  </w:t>
      </w:r>
      <w:r w:rsidR="00541868">
        <w:rPr>
          <w:lang w:eastAsia="en-AU"/>
        </w:rPr>
        <w:t>To manage costs the team exercised a discretion as to what data was transferred, including prioritising active users.</w:t>
      </w:r>
    </w:p>
    <w:p w14:paraId="4D1A29EE" w14:textId="2A969242" w:rsidR="00541868" w:rsidRDefault="00230E9A" w:rsidP="00230E9A">
      <w:pPr>
        <w:pStyle w:val="Quote1"/>
        <w:ind w:left="1440" w:hanging="703"/>
        <w:rPr>
          <w:lang w:eastAsia="en-AU"/>
        </w:rPr>
      </w:pPr>
      <w:r>
        <w:rPr>
          <w:lang w:eastAsia="en-AU"/>
        </w:rPr>
        <w:t>[</w:t>
      </w:r>
      <w:r w:rsidR="00541868">
        <w:rPr>
          <w:lang w:eastAsia="en-AU"/>
        </w:rPr>
        <w:t>114</w:t>
      </w:r>
      <w:r>
        <w:rPr>
          <w:lang w:eastAsia="en-AU"/>
        </w:rPr>
        <w:t>]</w:t>
      </w:r>
      <w:r w:rsidR="00A60811">
        <w:rPr>
          <w:lang w:eastAsia="en-AU"/>
        </w:rPr>
        <w:tab/>
      </w:r>
      <w:r w:rsidR="00541868">
        <w:rPr>
          <w:lang w:eastAsia="en-AU"/>
        </w:rPr>
        <w:t>For context, it must be recalled that the JKC action commenced in 2017</w:t>
      </w:r>
      <w:r w:rsidR="00265D3B">
        <w:rPr>
          <w:lang w:eastAsia="en-AU"/>
        </w:rPr>
        <w:t xml:space="preserve">.  </w:t>
      </w:r>
      <w:r w:rsidR="00541868">
        <w:rPr>
          <w:lang w:eastAsia="en-AU"/>
        </w:rPr>
        <w:t>ANIP was involved in investigations as to the degradation of I228 on the Project from at least 2016.</w:t>
      </w:r>
    </w:p>
    <w:p w14:paraId="1A6B535D" w14:textId="2196D6B4" w:rsidR="00503643" w:rsidRDefault="00230E9A" w:rsidP="00230E9A">
      <w:pPr>
        <w:pStyle w:val="Quote1"/>
        <w:ind w:left="1440" w:hanging="703"/>
        <w:rPr>
          <w:lang w:eastAsia="en-AU"/>
        </w:rPr>
      </w:pPr>
      <w:r>
        <w:rPr>
          <w:lang w:eastAsia="en-AU"/>
        </w:rPr>
        <w:t>[</w:t>
      </w:r>
      <w:r w:rsidR="00541868">
        <w:rPr>
          <w:lang w:eastAsia="en-AU"/>
        </w:rPr>
        <w:t>115</w:t>
      </w:r>
      <w:r>
        <w:rPr>
          <w:lang w:eastAsia="en-AU"/>
        </w:rPr>
        <w:t>]</w:t>
      </w:r>
      <w:r w:rsidR="00A60811">
        <w:rPr>
          <w:lang w:eastAsia="en-AU"/>
        </w:rPr>
        <w:tab/>
      </w:r>
      <w:r w:rsidR="00232F19">
        <w:rPr>
          <w:lang w:eastAsia="en-AU"/>
        </w:rPr>
        <w:t>Ms </w:t>
      </w:r>
      <w:r w:rsidR="00541868">
        <w:rPr>
          <w:lang w:eastAsia="en-AU"/>
        </w:rPr>
        <w:t>Lancaster did not have any involvement in these proceedings prior to February 2023 and attested to no personal knowledge of the circumstances of the deletion of the mailboxes</w:t>
      </w:r>
      <w:r w:rsidR="00265D3B">
        <w:rPr>
          <w:lang w:eastAsia="en-AU"/>
        </w:rPr>
        <w:t xml:space="preserve">.  </w:t>
      </w:r>
      <w:r w:rsidR="00541868">
        <w:rPr>
          <w:lang w:eastAsia="en-AU"/>
        </w:rPr>
        <w:t xml:space="preserve">Whilst the court order allowed for an explanation for the deletion of mailboxes to be given on the basis of information and belief, it is implicit in any such direction that there will be a </w:t>
      </w:r>
      <w:r w:rsidR="00541868" w:rsidRPr="008612E6">
        <w:rPr>
          <w:lang w:eastAsia="en-AU"/>
        </w:rPr>
        <w:t>sound basis for such knowledge and belief</w:t>
      </w:r>
      <w:r w:rsidR="00265D3B">
        <w:rPr>
          <w:lang w:eastAsia="en-AU"/>
        </w:rPr>
        <w:t xml:space="preserve">.  </w:t>
      </w:r>
      <w:r w:rsidR="00541868" w:rsidRPr="008612E6">
        <w:rPr>
          <w:lang w:eastAsia="en-AU"/>
        </w:rPr>
        <w:t xml:space="preserve">In my view, the general nature of the information apparently given to </w:t>
      </w:r>
      <w:r w:rsidR="00232F19">
        <w:rPr>
          <w:lang w:eastAsia="en-AU"/>
        </w:rPr>
        <w:t>Ms </w:t>
      </w:r>
      <w:r w:rsidR="00541868" w:rsidRPr="008612E6">
        <w:rPr>
          <w:lang w:eastAsia="en-AU"/>
        </w:rPr>
        <w:t>Lancaster by Mr Gutierrez ca</w:t>
      </w:r>
      <w:r w:rsidR="00541868">
        <w:rPr>
          <w:lang w:eastAsia="en-AU"/>
        </w:rPr>
        <w:t xml:space="preserve">lled for further interrogation by </w:t>
      </w:r>
      <w:r w:rsidR="00232F19">
        <w:rPr>
          <w:lang w:eastAsia="en-AU"/>
        </w:rPr>
        <w:t>Ms </w:t>
      </w:r>
      <w:r w:rsidR="00541868">
        <w:rPr>
          <w:lang w:eastAsia="en-AU"/>
        </w:rPr>
        <w:t>Lancaster or by others within ANIP as to the timing and circumstances of the deletion, including whether back-ups were arranged prior to the migration to Office 365</w:t>
      </w:r>
      <w:r w:rsidR="00265D3B">
        <w:rPr>
          <w:lang w:eastAsia="en-AU"/>
        </w:rPr>
        <w:t xml:space="preserve">.  </w:t>
      </w:r>
      <w:r w:rsidR="00541868">
        <w:rPr>
          <w:lang w:eastAsia="en-AU"/>
        </w:rPr>
        <w:t>Whether or not there was any further interrogation of such issues is a legitimate matter for cross</w:t>
      </w:r>
      <w:r w:rsidR="00232F19">
        <w:rPr>
          <w:lang w:eastAsia="en-AU"/>
        </w:rPr>
        <w:noBreakHyphen/>
      </w:r>
      <w:r w:rsidR="00541868">
        <w:rPr>
          <w:lang w:eastAsia="en-AU"/>
        </w:rPr>
        <w:t>examination</w:t>
      </w:r>
      <w:r w:rsidR="00265D3B">
        <w:rPr>
          <w:lang w:eastAsia="en-AU"/>
        </w:rPr>
        <w:t>.</w:t>
      </w:r>
    </w:p>
    <w:p w14:paraId="6627D1C5" w14:textId="678EDBDB" w:rsidR="005F5821" w:rsidRPr="00CA2829" w:rsidRDefault="005F5821" w:rsidP="00232F19">
      <w:pPr>
        <w:pStyle w:val="Quote1"/>
        <w:spacing w:after="360"/>
        <w:ind w:left="1440" w:hanging="703"/>
        <w:rPr>
          <w:lang w:eastAsia="en-AU"/>
        </w:rPr>
      </w:pPr>
      <w:r>
        <w:rPr>
          <w:lang w:eastAsia="en-AU"/>
        </w:rPr>
        <w:t>(emphasis added)</w:t>
      </w:r>
    </w:p>
    <w:p w14:paraId="525F1CB7" w14:textId="5D0A9CC4" w:rsidR="00277A89" w:rsidRDefault="0025641D" w:rsidP="008306D9">
      <w:pPr>
        <w:pStyle w:val="ParaNumbering"/>
      </w:pPr>
      <w:r>
        <w:t xml:space="preserve">The </w:t>
      </w:r>
      <w:r w:rsidR="005F5821">
        <w:t>emphasised</w:t>
      </w:r>
      <w:r>
        <w:t xml:space="preserve"> </w:t>
      </w:r>
      <w:r w:rsidR="00504EA5">
        <w:t>extracts</w:t>
      </w:r>
      <w:r>
        <w:t xml:space="preserve"> were based on </w:t>
      </w:r>
      <w:r w:rsidR="005F5821">
        <w:t xml:space="preserve">passages from </w:t>
      </w:r>
      <w:r w:rsidR="00232F19">
        <w:t>Ms </w:t>
      </w:r>
      <w:r w:rsidR="005F5821">
        <w:t xml:space="preserve">Lancaster's affidavit that </w:t>
      </w:r>
      <w:r w:rsidR="00AA446A">
        <w:t xml:space="preserve">indicated that </w:t>
      </w:r>
      <w:r w:rsidR="0015011A">
        <w:t xml:space="preserve">she was informed of matters </w:t>
      </w:r>
      <w:r w:rsidR="0015011A" w:rsidRPr="0015011A">
        <w:t xml:space="preserve">by Mr </w:t>
      </w:r>
      <w:r w:rsidR="0015011A" w:rsidRPr="0015011A">
        <w:rPr>
          <w:lang w:eastAsia="en-AU"/>
        </w:rPr>
        <w:t>Gutierrez and Mr Syed</w:t>
      </w:r>
      <w:r w:rsidR="00265D3B">
        <w:rPr>
          <w:lang w:eastAsia="en-AU"/>
        </w:rPr>
        <w:t xml:space="preserve">.  </w:t>
      </w:r>
      <w:r w:rsidR="0015011A">
        <w:rPr>
          <w:lang w:eastAsia="en-AU"/>
        </w:rPr>
        <w:t>Relevant statements in her affidavit include the following</w:t>
      </w:r>
      <w:r w:rsidR="00EE6F28">
        <w:rPr>
          <w:lang w:eastAsia="en-AU"/>
        </w:rPr>
        <w:t>:</w:t>
      </w:r>
    </w:p>
    <w:p w14:paraId="192D185C" w14:textId="554FFD73" w:rsidR="00A117D8" w:rsidRPr="00A117D8" w:rsidRDefault="00A117D8" w:rsidP="00D041C1">
      <w:pPr>
        <w:pStyle w:val="ListNo1alt"/>
        <w:rPr>
          <w:lang w:eastAsia="en-AU"/>
        </w:rPr>
      </w:pPr>
      <w:r>
        <w:rPr>
          <w:lang w:eastAsia="en-AU"/>
        </w:rPr>
        <w:t xml:space="preserve">'In advance of preparing this affidavit I have made relevant enquires with the technical subject </w:t>
      </w:r>
      <w:r w:rsidRPr="00A117D8">
        <w:rPr>
          <w:lang w:eastAsia="en-AU"/>
        </w:rPr>
        <w:t>matter experts within the AkzoNobel group to understand the circumstances which lead to the</w:t>
      </w:r>
      <w:r w:rsidR="00095F6F">
        <w:rPr>
          <w:lang w:eastAsia="en-AU"/>
        </w:rPr>
        <w:t xml:space="preserve"> </w:t>
      </w:r>
      <w:r w:rsidRPr="00A117D8">
        <w:rPr>
          <w:lang w:eastAsia="en-AU"/>
        </w:rPr>
        <w:t>Relevant Employees' mailboxes no longer being available to the Respondents</w:t>
      </w:r>
      <w:r>
        <w:rPr>
          <w:lang w:eastAsia="en-AU"/>
        </w:rPr>
        <w:t>'</w:t>
      </w:r>
      <w:r w:rsidR="00095F6F">
        <w:rPr>
          <w:lang w:eastAsia="en-AU"/>
        </w:rPr>
        <w:t xml:space="preserve"> (para 7</w:t>
      </w:r>
      <w:proofErr w:type="gramStart"/>
      <w:r w:rsidR="00095F6F">
        <w:rPr>
          <w:lang w:eastAsia="en-AU"/>
        </w:rPr>
        <w:t>)</w:t>
      </w:r>
      <w:r>
        <w:rPr>
          <w:lang w:eastAsia="en-AU"/>
        </w:rPr>
        <w:t>;</w:t>
      </w:r>
      <w:proofErr w:type="gramEnd"/>
    </w:p>
    <w:p w14:paraId="3D2CD138" w14:textId="193320BD" w:rsidR="005F5821" w:rsidRPr="00642F35" w:rsidRDefault="00D041C1" w:rsidP="00D041C1">
      <w:pPr>
        <w:pStyle w:val="ListNo1alt"/>
        <w:rPr>
          <w:szCs w:val="24"/>
          <w:lang w:eastAsia="en-AU"/>
        </w:rPr>
      </w:pPr>
      <w:r w:rsidRPr="00642F35">
        <w:rPr>
          <w:szCs w:val="24"/>
          <w:lang w:eastAsia="en-AU"/>
        </w:rPr>
        <w:t>'</w:t>
      </w:r>
      <w:r w:rsidR="00095F6F" w:rsidRPr="00642F35">
        <w:rPr>
          <w:szCs w:val="24"/>
          <w:lang w:eastAsia="en-AU"/>
        </w:rPr>
        <w:t>I am informed by Mr Adolfo Moreno Gutierrez, the Domain Lead Cybersecurity Risk and</w:t>
      </w:r>
      <w:r w:rsidRPr="00642F35">
        <w:rPr>
          <w:szCs w:val="24"/>
          <w:lang w:eastAsia="en-AU"/>
        </w:rPr>
        <w:t xml:space="preserve"> </w:t>
      </w:r>
      <w:r w:rsidR="00095F6F" w:rsidRPr="00642F35">
        <w:rPr>
          <w:szCs w:val="24"/>
          <w:lang w:eastAsia="en-AU"/>
        </w:rPr>
        <w:t>Compliance Manager within the AkzoNobel group, that…</w:t>
      </w:r>
      <w:r w:rsidRPr="00642F35">
        <w:rPr>
          <w:szCs w:val="24"/>
          <w:lang w:eastAsia="en-AU"/>
        </w:rPr>
        <w:t>'</w:t>
      </w:r>
      <w:r w:rsidR="00642F35" w:rsidRPr="00642F35">
        <w:rPr>
          <w:szCs w:val="24"/>
          <w:lang w:eastAsia="en-AU"/>
        </w:rPr>
        <w:t xml:space="preserve"> </w:t>
      </w:r>
      <w:r w:rsidR="00095F6F" w:rsidRPr="00642F35">
        <w:rPr>
          <w:szCs w:val="24"/>
          <w:lang w:eastAsia="en-AU"/>
        </w:rPr>
        <w:t>(para 9</w:t>
      </w:r>
      <w:proofErr w:type="gramStart"/>
      <w:r w:rsidR="00095F6F" w:rsidRPr="00642F35">
        <w:rPr>
          <w:szCs w:val="24"/>
          <w:lang w:eastAsia="en-AU"/>
        </w:rPr>
        <w:t>)</w:t>
      </w:r>
      <w:r w:rsidR="00642F35" w:rsidRPr="00642F35">
        <w:rPr>
          <w:szCs w:val="24"/>
          <w:lang w:eastAsia="en-AU"/>
        </w:rPr>
        <w:t>;</w:t>
      </w:r>
      <w:proofErr w:type="gramEnd"/>
    </w:p>
    <w:p w14:paraId="0A578F3D" w14:textId="281689AC" w:rsidR="00D041C1" w:rsidRPr="00642F35" w:rsidRDefault="00FE44EF" w:rsidP="00D041C1">
      <w:pPr>
        <w:pStyle w:val="ListNo1alt"/>
        <w:rPr>
          <w:szCs w:val="24"/>
          <w:lang w:eastAsia="en-AU"/>
        </w:rPr>
      </w:pPr>
      <w:r w:rsidRPr="00642F35">
        <w:rPr>
          <w:szCs w:val="24"/>
          <w:lang w:eastAsia="en-AU"/>
        </w:rPr>
        <w:t xml:space="preserve">'I am informed by Mr Syed </w:t>
      </w:r>
      <w:r w:rsidR="005D7699">
        <w:rPr>
          <w:szCs w:val="24"/>
          <w:lang w:eastAsia="en-AU"/>
        </w:rPr>
        <w:t xml:space="preserve">and verily believe </w:t>
      </w:r>
      <w:r w:rsidRPr="00642F35">
        <w:rPr>
          <w:szCs w:val="24"/>
          <w:lang w:eastAsia="en-AU"/>
        </w:rPr>
        <w:t>that…</w:t>
      </w:r>
      <w:r w:rsidR="00642F35" w:rsidRPr="00642F35">
        <w:rPr>
          <w:szCs w:val="24"/>
          <w:lang w:eastAsia="en-AU"/>
        </w:rPr>
        <w:t xml:space="preserve">' </w:t>
      </w:r>
      <w:r w:rsidRPr="00642F35">
        <w:rPr>
          <w:szCs w:val="24"/>
          <w:lang w:eastAsia="en-AU"/>
        </w:rPr>
        <w:t>(para 11</w:t>
      </w:r>
      <w:proofErr w:type="gramStart"/>
      <w:r w:rsidRPr="00642F35">
        <w:rPr>
          <w:szCs w:val="24"/>
          <w:lang w:eastAsia="en-AU"/>
        </w:rPr>
        <w:t>)</w:t>
      </w:r>
      <w:r w:rsidR="00642F35" w:rsidRPr="00642F35">
        <w:rPr>
          <w:szCs w:val="24"/>
          <w:lang w:eastAsia="en-AU"/>
        </w:rPr>
        <w:t>;</w:t>
      </w:r>
      <w:proofErr w:type="gramEnd"/>
    </w:p>
    <w:p w14:paraId="497CD40D" w14:textId="62169FBC" w:rsidR="00FE44EF" w:rsidRPr="00642F35" w:rsidRDefault="007C133C" w:rsidP="00D041C1">
      <w:pPr>
        <w:pStyle w:val="ListNo1alt"/>
        <w:rPr>
          <w:szCs w:val="24"/>
          <w:lang w:eastAsia="en-AU"/>
        </w:rPr>
      </w:pPr>
      <w:r w:rsidRPr="00642F35">
        <w:rPr>
          <w:szCs w:val="24"/>
          <w:lang w:eastAsia="en-AU"/>
        </w:rPr>
        <w:lastRenderedPageBreak/>
        <w:t>'Mr Syed has informed me that…' (</w:t>
      </w:r>
      <w:r w:rsidR="00545AA9">
        <w:rPr>
          <w:szCs w:val="24"/>
          <w:lang w:eastAsia="en-AU"/>
        </w:rPr>
        <w:t>p</w:t>
      </w:r>
      <w:r w:rsidRPr="00642F35">
        <w:rPr>
          <w:szCs w:val="24"/>
          <w:lang w:eastAsia="en-AU"/>
        </w:rPr>
        <w:t>ara 12</w:t>
      </w:r>
      <w:proofErr w:type="gramStart"/>
      <w:r w:rsidRPr="00642F35">
        <w:rPr>
          <w:szCs w:val="24"/>
          <w:lang w:eastAsia="en-AU"/>
        </w:rPr>
        <w:t>)</w:t>
      </w:r>
      <w:r w:rsidR="00545AA9">
        <w:rPr>
          <w:szCs w:val="24"/>
          <w:lang w:eastAsia="en-AU"/>
        </w:rPr>
        <w:t>;</w:t>
      </w:r>
      <w:proofErr w:type="gramEnd"/>
    </w:p>
    <w:p w14:paraId="03AB9E26" w14:textId="57D82C26" w:rsidR="006904B8" w:rsidRPr="00642F35" w:rsidRDefault="009059DF" w:rsidP="00D041C1">
      <w:pPr>
        <w:pStyle w:val="ListNo1alt"/>
        <w:rPr>
          <w:szCs w:val="24"/>
          <w:lang w:eastAsia="en-AU"/>
        </w:rPr>
      </w:pPr>
      <w:r w:rsidRPr="00642F35">
        <w:rPr>
          <w:szCs w:val="24"/>
          <w:lang w:eastAsia="en-AU"/>
        </w:rPr>
        <w:t>'I am also informed by Mr Syed and by Mr Moreno Gutierrez</w:t>
      </w:r>
      <w:r w:rsidR="00C1152F">
        <w:rPr>
          <w:szCs w:val="24"/>
          <w:lang w:eastAsia="en-AU"/>
        </w:rPr>
        <w:t>,</w:t>
      </w:r>
      <w:r w:rsidRPr="00642F35">
        <w:rPr>
          <w:szCs w:val="24"/>
          <w:lang w:eastAsia="en-AU"/>
        </w:rPr>
        <w:t xml:space="preserve"> that…</w:t>
      </w:r>
      <w:r w:rsidR="00642F35">
        <w:rPr>
          <w:szCs w:val="24"/>
          <w:lang w:eastAsia="en-AU"/>
        </w:rPr>
        <w:t xml:space="preserve">' </w:t>
      </w:r>
      <w:r w:rsidR="006904B8" w:rsidRPr="00642F35">
        <w:rPr>
          <w:szCs w:val="24"/>
          <w:lang w:eastAsia="en-AU"/>
        </w:rPr>
        <w:t>(para 14</w:t>
      </w:r>
      <w:proofErr w:type="gramStart"/>
      <w:r w:rsidR="006904B8" w:rsidRPr="00642F35">
        <w:rPr>
          <w:szCs w:val="24"/>
          <w:lang w:eastAsia="en-AU"/>
        </w:rPr>
        <w:t>)</w:t>
      </w:r>
      <w:r w:rsidR="00545AA9">
        <w:rPr>
          <w:szCs w:val="24"/>
          <w:lang w:eastAsia="en-AU"/>
        </w:rPr>
        <w:t>;</w:t>
      </w:r>
      <w:proofErr w:type="gramEnd"/>
    </w:p>
    <w:p w14:paraId="6F7A0CF4" w14:textId="6BB1EAF7" w:rsidR="007C133C" w:rsidRPr="00642F35" w:rsidRDefault="009059DF" w:rsidP="00D041C1">
      <w:pPr>
        <w:pStyle w:val="ListNo1alt"/>
        <w:rPr>
          <w:szCs w:val="24"/>
          <w:lang w:eastAsia="en-AU"/>
        </w:rPr>
      </w:pPr>
      <w:r w:rsidRPr="00642F35">
        <w:rPr>
          <w:szCs w:val="24"/>
          <w:lang w:eastAsia="en-AU"/>
        </w:rPr>
        <w:t>'</w:t>
      </w:r>
      <w:r w:rsidR="00766935" w:rsidRPr="00642F35">
        <w:rPr>
          <w:szCs w:val="24"/>
          <w:lang w:eastAsia="en-AU"/>
        </w:rPr>
        <w:t>Mr Moreno has informed me and I believe that…</w:t>
      </w:r>
      <w:r w:rsidR="00642F35">
        <w:rPr>
          <w:szCs w:val="24"/>
          <w:lang w:eastAsia="en-AU"/>
        </w:rPr>
        <w:t xml:space="preserve">' </w:t>
      </w:r>
      <w:r w:rsidR="00766935" w:rsidRPr="00642F35">
        <w:rPr>
          <w:szCs w:val="24"/>
          <w:lang w:eastAsia="en-AU"/>
        </w:rPr>
        <w:t>(para 16 and in context likely intended to refer to Mr Gutierrez</w:t>
      </w:r>
      <w:proofErr w:type="gramStart"/>
      <w:r w:rsidR="00766935" w:rsidRPr="00642F35">
        <w:rPr>
          <w:szCs w:val="24"/>
          <w:lang w:eastAsia="en-AU"/>
        </w:rPr>
        <w:t>)</w:t>
      </w:r>
      <w:r w:rsidR="00545AA9">
        <w:rPr>
          <w:szCs w:val="24"/>
          <w:lang w:eastAsia="en-AU"/>
        </w:rPr>
        <w:t>;</w:t>
      </w:r>
      <w:proofErr w:type="gramEnd"/>
    </w:p>
    <w:p w14:paraId="7AF8F910" w14:textId="086CF980" w:rsidR="00FF1F09" w:rsidRPr="00642F35" w:rsidRDefault="00FF1F09" w:rsidP="00D041C1">
      <w:pPr>
        <w:pStyle w:val="ListNo1alt"/>
        <w:rPr>
          <w:szCs w:val="24"/>
          <w:lang w:eastAsia="en-AU"/>
        </w:rPr>
      </w:pPr>
      <w:r w:rsidRPr="00642F35">
        <w:rPr>
          <w:szCs w:val="24"/>
          <w:lang w:eastAsia="en-AU"/>
        </w:rPr>
        <w:t>'I am informed by Mr Moreno Gutierrez</w:t>
      </w:r>
      <w:r w:rsidR="00F92E6E">
        <w:rPr>
          <w:szCs w:val="24"/>
          <w:lang w:eastAsia="en-AU"/>
        </w:rPr>
        <w:t>…</w:t>
      </w:r>
      <w:r w:rsidRPr="00642F35">
        <w:rPr>
          <w:szCs w:val="24"/>
          <w:lang w:eastAsia="en-AU"/>
        </w:rPr>
        <w:t>' (para 18</w:t>
      </w:r>
      <w:r w:rsidR="00545AA9">
        <w:rPr>
          <w:szCs w:val="24"/>
          <w:lang w:eastAsia="en-AU"/>
        </w:rPr>
        <w:t>); and</w:t>
      </w:r>
    </w:p>
    <w:p w14:paraId="50B8AD57" w14:textId="353D5EAE" w:rsidR="00FF1F09" w:rsidRPr="00642F35" w:rsidRDefault="00642F35" w:rsidP="00642F35">
      <w:pPr>
        <w:pStyle w:val="ListNo1alt"/>
        <w:rPr>
          <w:szCs w:val="24"/>
          <w:lang w:eastAsia="en-AU"/>
        </w:rPr>
      </w:pPr>
      <w:r w:rsidRPr="00642F35">
        <w:rPr>
          <w:szCs w:val="24"/>
          <w:lang w:eastAsia="en-AU"/>
        </w:rPr>
        <w:t>'For example, Mr Moreno Guiterrez's understanding is that</w:t>
      </w:r>
      <w:r w:rsidR="00545AA9">
        <w:rPr>
          <w:szCs w:val="24"/>
          <w:lang w:eastAsia="en-AU"/>
        </w:rPr>
        <w:t>…' (para 18).</w:t>
      </w:r>
    </w:p>
    <w:p w14:paraId="501C9141" w14:textId="20DD02F9" w:rsidR="00CC3CB2" w:rsidRDefault="00CC3CB2" w:rsidP="00EA6998">
      <w:pPr>
        <w:pStyle w:val="Heading3"/>
      </w:pPr>
      <w:r>
        <w:t>The cross-examination</w:t>
      </w:r>
    </w:p>
    <w:p w14:paraId="05ABD6ED" w14:textId="048106FE" w:rsidR="00C121D8" w:rsidRDefault="00D378C3" w:rsidP="00D378C3">
      <w:pPr>
        <w:pStyle w:val="ParaNumbering"/>
      </w:pPr>
      <w:r>
        <w:t xml:space="preserve">During cross-examination, </w:t>
      </w:r>
      <w:r w:rsidR="00232F19">
        <w:t>Ms </w:t>
      </w:r>
      <w:r w:rsidR="00F306B7">
        <w:t xml:space="preserve">Lancaster </w:t>
      </w:r>
      <w:r w:rsidR="00085C6A">
        <w:t>amended the evidence in</w:t>
      </w:r>
      <w:r w:rsidR="00F306B7">
        <w:t xml:space="preserve"> para 7 of her affidavit by deleting the words '</w:t>
      </w:r>
      <w:r w:rsidR="00F306B7">
        <w:rPr>
          <w:lang w:eastAsia="en-AU"/>
        </w:rPr>
        <w:t>I have made relevant enquir</w:t>
      </w:r>
      <w:r w:rsidR="005300A2">
        <w:rPr>
          <w:lang w:eastAsia="en-AU"/>
        </w:rPr>
        <w:t>i</w:t>
      </w:r>
      <w:r w:rsidR="00F306B7">
        <w:rPr>
          <w:lang w:eastAsia="en-AU"/>
        </w:rPr>
        <w:t>es</w:t>
      </w:r>
      <w:r w:rsidR="00333E29">
        <w:rPr>
          <w:lang w:eastAsia="en-AU"/>
        </w:rPr>
        <w:t>' and substituting the words 'I have caused relevant enquiries to be made'</w:t>
      </w:r>
      <w:r w:rsidR="00265D3B">
        <w:rPr>
          <w:lang w:eastAsia="en-AU"/>
        </w:rPr>
        <w:t xml:space="preserve">.  </w:t>
      </w:r>
      <w:r w:rsidR="00DF49F9">
        <w:rPr>
          <w:lang w:eastAsia="en-AU"/>
        </w:rPr>
        <w:t xml:space="preserve">This distancing from personal </w:t>
      </w:r>
      <w:r w:rsidR="00893CDA">
        <w:rPr>
          <w:lang w:eastAsia="en-AU"/>
        </w:rPr>
        <w:t>involvement</w:t>
      </w:r>
      <w:r w:rsidR="00F464BE">
        <w:rPr>
          <w:lang w:eastAsia="en-AU"/>
        </w:rPr>
        <w:t xml:space="preserve"> or</w:t>
      </w:r>
      <w:r w:rsidR="00EA1F2F">
        <w:rPr>
          <w:lang w:eastAsia="en-AU"/>
        </w:rPr>
        <w:t xml:space="preserve"> inquiry was </w:t>
      </w:r>
      <w:r w:rsidR="002F4C64">
        <w:rPr>
          <w:lang w:eastAsia="en-AU"/>
        </w:rPr>
        <w:t>further revealed under cross-examination.</w:t>
      </w:r>
    </w:p>
    <w:p w14:paraId="5093CA61" w14:textId="3CE3A4EC" w:rsidR="006002E9" w:rsidRDefault="00333E29" w:rsidP="00231C9D">
      <w:pPr>
        <w:pStyle w:val="ParaNumbering"/>
      </w:pPr>
      <w:r>
        <w:rPr>
          <w:lang w:eastAsia="en-AU"/>
        </w:rPr>
        <w:t xml:space="preserve">The cross-examination </w:t>
      </w:r>
      <w:r w:rsidR="00DF3342">
        <w:rPr>
          <w:lang w:eastAsia="en-AU"/>
        </w:rPr>
        <w:t>revealed</w:t>
      </w:r>
      <w:r>
        <w:rPr>
          <w:lang w:eastAsia="en-AU"/>
        </w:rPr>
        <w:t xml:space="preserve"> th</w:t>
      </w:r>
      <w:r w:rsidR="00134749">
        <w:rPr>
          <w:lang w:eastAsia="en-AU"/>
        </w:rPr>
        <w:t xml:space="preserve">at </w:t>
      </w:r>
      <w:r w:rsidR="00A46D0F">
        <w:rPr>
          <w:lang w:eastAsia="en-AU"/>
        </w:rPr>
        <w:t>i</w:t>
      </w:r>
      <w:r w:rsidR="00134749">
        <w:rPr>
          <w:lang w:eastAsia="en-AU"/>
        </w:rPr>
        <w:t xml:space="preserve">n fact </w:t>
      </w:r>
      <w:r w:rsidR="00232F19">
        <w:rPr>
          <w:lang w:eastAsia="en-AU"/>
        </w:rPr>
        <w:t>Ms </w:t>
      </w:r>
      <w:r w:rsidR="00134749">
        <w:rPr>
          <w:lang w:eastAsia="en-AU"/>
        </w:rPr>
        <w:t xml:space="preserve">Lancaster had not spoken to either Mr Gutierrez or Mr </w:t>
      </w:r>
      <w:r w:rsidR="00A46D0F">
        <w:rPr>
          <w:lang w:eastAsia="en-AU"/>
        </w:rPr>
        <w:t>Syed for the purpose of preparing her affidavit</w:t>
      </w:r>
      <w:r w:rsidR="00265D3B">
        <w:rPr>
          <w:lang w:eastAsia="en-AU"/>
        </w:rPr>
        <w:t xml:space="preserve">.  </w:t>
      </w:r>
      <w:r w:rsidR="00A8677B">
        <w:rPr>
          <w:lang w:eastAsia="en-AU"/>
        </w:rPr>
        <w:t>Nor did she meet with either of them in person or otherwise</w:t>
      </w:r>
      <w:r w:rsidR="00265D3B">
        <w:rPr>
          <w:lang w:eastAsia="en-AU"/>
        </w:rPr>
        <w:t xml:space="preserve">.  </w:t>
      </w:r>
      <w:r w:rsidR="00A8677B">
        <w:rPr>
          <w:lang w:eastAsia="en-AU"/>
        </w:rPr>
        <w:t>She did not correspond with either of them directly</w:t>
      </w:r>
      <w:r w:rsidR="00265D3B">
        <w:rPr>
          <w:lang w:eastAsia="en-AU"/>
        </w:rPr>
        <w:t xml:space="preserve">.  </w:t>
      </w:r>
      <w:r w:rsidR="00AB4DAA">
        <w:rPr>
          <w:lang w:eastAsia="en-AU"/>
        </w:rPr>
        <w:t>Objectively, t</w:t>
      </w:r>
      <w:r w:rsidR="005919FE">
        <w:rPr>
          <w:lang w:eastAsia="en-AU"/>
        </w:rPr>
        <w:t xml:space="preserve">he affidavit </w:t>
      </w:r>
      <w:r w:rsidR="00AB4DAA">
        <w:rPr>
          <w:lang w:eastAsia="en-AU"/>
        </w:rPr>
        <w:t>portrays a different picture</w:t>
      </w:r>
      <w:r w:rsidR="00CD2344">
        <w:rPr>
          <w:lang w:eastAsia="en-AU"/>
        </w:rPr>
        <w:t xml:space="preserve"> and</w:t>
      </w:r>
      <w:r w:rsidR="00DB6792">
        <w:rPr>
          <w:lang w:eastAsia="en-AU"/>
        </w:rPr>
        <w:t xml:space="preserve"> in this regard</w:t>
      </w:r>
      <w:r w:rsidR="00CD2344">
        <w:rPr>
          <w:lang w:eastAsia="en-AU"/>
        </w:rPr>
        <w:t xml:space="preserve"> is</w:t>
      </w:r>
      <w:r w:rsidR="00950FD0">
        <w:rPr>
          <w:lang w:eastAsia="en-AU"/>
        </w:rPr>
        <w:t xml:space="preserve"> misleading</w:t>
      </w:r>
      <w:r w:rsidR="00265D3B">
        <w:rPr>
          <w:lang w:eastAsia="en-AU"/>
        </w:rPr>
        <w:t>.</w:t>
      </w:r>
    </w:p>
    <w:p w14:paraId="089857AE" w14:textId="7165596E" w:rsidR="00950FD0" w:rsidRDefault="00231C9D" w:rsidP="00231C9D">
      <w:pPr>
        <w:pStyle w:val="ParaNumbering"/>
      </w:pPr>
      <w:r>
        <w:rPr>
          <w:lang w:eastAsia="en-AU"/>
        </w:rPr>
        <w:t>However, that does not answer the que</w:t>
      </w:r>
      <w:r w:rsidR="00355639">
        <w:rPr>
          <w:lang w:eastAsia="en-AU"/>
        </w:rPr>
        <w:t>stion</w:t>
      </w:r>
      <w:r>
        <w:rPr>
          <w:lang w:eastAsia="en-AU"/>
        </w:rPr>
        <w:t xml:space="preserve"> </w:t>
      </w:r>
      <w:r w:rsidR="00F5464B">
        <w:rPr>
          <w:lang w:eastAsia="en-AU"/>
        </w:rPr>
        <w:t>of</w:t>
      </w:r>
      <w:r>
        <w:rPr>
          <w:lang w:eastAsia="en-AU"/>
        </w:rPr>
        <w:t xml:space="preserve"> waiver.</w:t>
      </w:r>
    </w:p>
    <w:p w14:paraId="2E7EC31B" w14:textId="6EF29E92" w:rsidR="00D95719" w:rsidRDefault="00232F19" w:rsidP="00D378C3">
      <w:pPr>
        <w:pStyle w:val="ParaNumbering"/>
      </w:pPr>
      <w:r>
        <w:rPr>
          <w:lang w:eastAsia="en-AU"/>
        </w:rPr>
        <w:t>Ms </w:t>
      </w:r>
      <w:r w:rsidR="000A48E9">
        <w:rPr>
          <w:lang w:eastAsia="en-AU"/>
        </w:rPr>
        <w:t xml:space="preserve">Lancaster's evidence under cross-examination was that </w:t>
      </w:r>
      <w:r w:rsidR="001639FC">
        <w:rPr>
          <w:lang w:eastAsia="en-AU"/>
        </w:rPr>
        <w:t xml:space="preserve">she was copied </w:t>
      </w:r>
      <w:r w:rsidR="00355639">
        <w:rPr>
          <w:lang w:eastAsia="en-AU"/>
        </w:rPr>
        <w:t xml:space="preserve">in </w:t>
      </w:r>
      <w:r w:rsidR="001639FC">
        <w:rPr>
          <w:lang w:eastAsia="en-AU"/>
        </w:rPr>
        <w:t xml:space="preserve">to </w:t>
      </w:r>
      <w:r w:rsidR="00355639">
        <w:rPr>
          <w:lang w:eastAsia="en-AU"/>
        </w:rPr>
        <w:t xml:space="preserve">exchanges of </w:t>
      </w:r>
      <w:r w:rsidR="001639FC">
        <w:rPr>
          <w:lang w:eastAsia="en-AU"/>
        </w:rPr>
        <w:t>emails</w:t>
      </w:r>
      <w:r w:rsidR="00DD4EA6">
        <w:rPr>
          <w:lang w:eastAsia="en-AU"/>
        </w:rPr>
        <w:t xml:space="preserve"> and that Clayton Utz was involved in that process</w:t>
      </w:r>
      <w:r w:rsidR="00265D3B">
        <w:rPr>
          <w:lang w:eastAsia="en-AU"/>
        </w:rPr>
        <w:t xml:space="preserve">.  </w:t>
      </w:r>
      <w:r w:rsidR="001639FC">
        <w:rPr>
          <w:lang w:eastAsia="en-AU"/>
        </w:rPr>
        <w:t xml:space="preserve">It follows that the source of </w:t>
      </w:r>
      <w:r w:rsidR="00765072">
        <w:rPr>
          <w:lang w:eastAsia="en-AU"/>
        </w:rPr>
        <w:t xml:space="preserve">much of </w:t>
      </w:r>
      <w:r>
        <w:rPr>
          <w:lang w:eastAsia="en-AU"/>
        </w:rPr>
        <w:t>Ms </w:t>
      </w:r>
      <w:r w:rsidR="001639FC">
        <w:rPr>
          <w:lang w:eastAsia="en-AU"/>
        </w:rPr>
        <w:t xml:space="preserve">Lancaster's evidence </w:t>
      </w:r>
      <w:r w:rsidR="00765072">
        <w:rPr>
          <w:lang w:eastAsia="en-AU"/>
        </w:rPr>
        <w:t xml:space="preserve">in her affidavit </w:t>
      </w:r>
      <w:r w:rsidR="004765A6">
        <w:rPr>
          <w:lang w:eastAsia="en-AU"/>
        </w:rPr>
        <w:t>is presumably</w:t>
      </w:r>
      <w:r w:rsidR="001639FC">
        <w:rPr>
          <w:lang w:eastAsia="en-AU"/>
        </w:rPr>
        <w:t xml:space="preserve"> </w:t>
      </w:r>
      <w:r w:rsidR="000D59B4">
        <w:rPr>
          <w:lang w:eastAsia="en-AU"/>
        </w:rPr>
        <w:t>those emails</w:t>
      </w:r>
      <w:r w:rsidR="00265D3B">
        <w:rPr>
          <w:lang w:eastAsia="en-AU"/>
        </w:rPr>
        <w:t>.</w:t>
      </w:r>
    </w:p>
    <w:p w14:paraId="3F00FCB9" w14:textId="66943305" w:rsidR="00277A89" w:rsidRDefault="003245A4" w:rsidP="00D378C3">
      <w:pPr>
        <w:pStyle w:val="ParaNumbering"/>
      </w:pPr>
      <w:r>
        <w:rPr>
          <w:lang w:eastAsia="en-AU"/>
        </w:rPr>
        <w:t xml:space="preserve">There was no objection taken to questions to </w:t>
      </w:r>
      <w:r w:rsidR="00232F19">
        <w:rPr>
          <w:lang w:eastAsia="en-AU"/>
        </w:rPr>
        <w:t>Ms </w:t>
      </w:r>
      <w:r>
        <w:rPr>
          <w:lang w:eastAsia="en-AU"/>
        </w:rPr>
        <w:t xml:space="preserve">Lancaster during cross-examination about the </w:t>
      </w:r>
      <w:r w:rsidR="00391D6E">
        <w:rPr>
          <w:lang w:eastAsia="en-AU"/>
        </w:rPr>
        <w:t xml:space="preserve">emails or about the </w:t>
      </w:r>
      <w:r>
        <w:rPr>
          <w:lang w:eastAsia="en-AU"/>
        </w:rPr>
        <w:t>sources of her knowledge on the basis of privi</w:t>
      </w:r>
      <w:r w:rsidR="00DD5F92">
        <w:rPr>
          <w:lang w:eastAsia="en-AU"/>
        </w:rPr>
        <w:t>l</w:t>
      </w:r>
      <w:r>
        <w:rPr>
          <w:lang w:eastAsia="en-AU"/>
        </w:rPr>
        <w:t>ege</w:t>
      </w:r>
      <w:r w:rsidR="00265D3B">
        <w:rPr>
          <w:lang w:eastAsia="en-AU"/>
        </w:rPr>
        <w:t>.</w:t>
      </w:r>
    </w:p>
    <w:p w14:paraId="0A7D3B40" w14:textId="196C5D5A" w:rsidR="005479AD" w:rsidRDefault="005479AD" w:rsidP="005479AD">
      <w:pPr>
        <w:pStyle w:val="Heading3"/>
      </w:pPr>
      <w:r>
        <w:t>The call and the privilege claim</w:t>
      </w:r>
    </w:p>
    <w:p w14:paraId="1B4EBF86" w14:textId="044C6319" w:rsidR="002D0290" w:rsidRDefault="00026DDA" w:rsidP="00D378C3">
      <w:pPr>
        <w:pStyle w:val="ParaNumbering"/>
      </w:pPr>
      <w:r>
        <w:t xml:space="preserve">During the cross-examination </w:t>
      </w:r>
      <w:r w:rsidR="00E96F7D">
        <w:t xml:space="preserve">INPEX </w:t>
      </w:r>
      <w:r w:rsidR="002529A8">
        <w:t xml:space="preserve">made a call for the </w:t>
      </w:r>
      <w:r w:rsidR="002D0290">
        <w:t>communications</w:t>
      </w:r>
      <w:r w:rsidR="002529A8">
        <w:t xml:space="preserve"> </w:t>
      </w:r>
      <w:r w:rsidR="002D0290">
        <w:t>involving</w:t>
      </w:r>
      <w:r w:rsidR="002529A8">
        <w:t xml:space="preserve"> </w:t>
      </w:r>
      <w:r w:rsidR="00232F19">
        <w:t>Ms </w:t>
      </w:r>
      <w:r w:rsidR="002529A8">
        <w:t xml:space="preserve">Lancaster and Mr Gutierrez and/or Mr Syed either to which she was directly </w:t>
      </w:r>
      <w:r w:rsidR="002D0290">
        <w:t>involved or copied into.</w:t>
      </w:r>
    </w:p>
    <w:p w14:paraId="4FB2F729" w14:textId="75091C1D" w:rsidR="00D86783" w:rsidRDefault="00EF7CEF" w:rsidP="00D378C3">
      <w:pPr>
        <w:pStyle w:val="ParaNumbering"/>
      </w:pPr>
      <w:r>
        <w:t xml:space="preserve">ANIP </w:t>
      </w:r>
      <w:r w:rsidR="00026DDA">
        <w:t>subsequently</w:t>
      </w:r>
      <w:r w:rsidR="00FF65AB">
        <w:t xml:space="preserve"> </w:t>
      </w:r>
      <w:r w:rsidR="00966093">
        <w:t>provided</w:t>
      </w:r>
      <w:r w:rsidR="00FF65AB">
        <w:t xml:space="preserve"> a list</w:t>
      </w:r>
      <w:r w:rsidR="00354A29">
        <w:t xml:space="preserve"> </w:t>
      </w:r>
      <w:r w:rsidR="00026DDA">
        <w:t xml:space="preserve">of </w:t>
      </w:r>
      <w:r w:rsidR="004807EB">
        <w:t>44 emails</w:t>
      </w:r>
      <w:r w:rsidR="00026DDA">
        <w:t xml:space="preserve"> </w:t>
      </w:r>
      <w:r w:rsidR="00C1318A">
        <w:t xml:space="preserve">said to relate to the call, </w:t>
      </w:r>
      <w:r w:rsidR="000574D4">
        <w:t>extracted from a spreadsheet</w:t>
      </w:r>
      <w:r w:rsidR="00265D3B">
        <w:t xml:space="preserve">.  </w:t>
      </w:r>
      <w:r w:rsidR="00CD713C">
        <w:t>INPEX seeks unredacted copies of 39 of those emails</w:t>
      </w:r>
      <w:r w:rsidR="00265D3B">
        <w:t xml:space="preserve">.  </w:t>
      </w:r>
      <w:r w:rsidR="00CD713C">
        <w:t>The spreadsheet</w:t>
      </w:r>
      <w:r w:rsidR="000574D4">
        <w:t xml:space="preserve"> includes </w:t>
      </w:r>
      <w:r w:rsidR="00CD713C">
        <w:t xml:space="preserve">information that </w:t>
      </w:r>
      <w:r w:rsidR="006E6FD9">
        <w:t>indicates</w:t>
      </w:r>
      <w:r w:rsidR="00CD713C">
        <w:t xml:space="preserve"> that lawyers from Clayton Utz were senders or recipients of each </w:t>
      </w:r>
      <w:r w:rsidR="006E6FD9">
        <w:t>of</w:t>
      </w:r>
      <w:r w:rsidR="00CD713C">
        <w:t xml:space="preserve"> those emails</w:t>
      </w:r>
      <w:r w:rsidR="00265D3B">
        <w:t xml:space="preserve">.  </w:t>
      </w:r>
      <w:r w:rsidR="00CF764D">
        <w:t>ANIP</w:t>
      </w:r>
      <w:r w:rsidR="00026DDA">
        <w:t xml:space="preserve"> </w:t>
      </w:r>
      <w:r>
        <w:t>asserts that the</w:t>
      </w:r>
      <w:r w:rsidR="00C0556D">
        <w:t xml:space="preserve"> documents</w:t>
      </w:r>
      <w:r>
        <w:t xml:space="preserve"> are </w:t>
      </w:r>
      <w:r w:rsidR="00B64D9A">
        <w:t>privileged</w:t>
      </w:r>
      <w:r>
        <w:t xml:space="preserve"> on th</w:t>
      </w:r>
      <w:r w:rsidR="00B64D9A">
        <w:t>e</w:t>
      </w:r>
      <w:r>
        <w:t xml:space="preserve"> basis that they were </w:t>
      </w:r>
      <w:r>
        <w:lastRenderedPageBreak/>
        <w:t xml:space="preserve">'created in the course of </w:t>
      </w:r>
      <w:r w:rsidR="00B64D9A">
        <w:t>providing</w:t>
      </w:r>
      <w:r>
        <w:t xml:space="preserve"> legal services to [ANIP</w:t>
      </w:r>
      <w:r w:rsidR="00B64D9A">
        <w:t>]</w:t>
      </w:r>
      <w:r>
        <w:t xml:space="preserve"> as part of the current litigation and for the dominant </w:t>
      </w:r>
      <w:r w:rsidR="00B64D9A">
        <w:t>purpose</w:t>
      </w:r>
      <w:r>
        <w:t xml:space="preserve"> of legal advice</w:t>
      </w:r>
      <w:r w:rsidR="00B64D9A">
        <w:t>'</w:t>
      </w:r>
      <w:r w:rsidR="00265D3B">
        <w:t xml:space="preserve">.  </w:t>
      </w:r>
      <w:r w:rsidR="00C75D1B">
        <w:t xml:space="preserve">I take this to </w:t>
      </w:r>
      <w:r w:rsidR="00B625E4">
        <w:t>be</w:t>
      </w:r>
      <w:r w:rsidR="00C75D1B">
        <w:t xml:space="preserve"> an assertion of both </w:t>
      </w:r>
      <w:r w:rsidR="009B311D">
        <w:t xml:space="preserve">litigation privilege and </w:t>
      </w:r>
      <w:r w:rsidR="00A249BC">
        <w:t xml:space="preserve">legal </w:t>
      </w:r>
      <w:r w:rsidR="009B311D">
        <w:t>advice privilege</w:t>
      </w:r>
      <w:r w:rsidR="00265D3B">
        <w:t>.</w:t>
      </w:r>
    </w:p>
    <w:p w14:paraId="79584179" w14:textId="737C432D" w:rsidR="00E83C7D" w:rsidRDefault="00794670" w:rsidP="00D378C3">
      <w:pPr>
        <w:pStyle w:val="ParaNumbering"/>
      </w:pPr>
      <w:r>
        <w:t>Leaving aside the que</w:t>
      </w:r>
      <w:r w:rsidR="00AA0BF3">
        <w:t>st</w:t>
      </w:r>
      <w:r>
        <w:t>ion of waiver, ANIP's</w:t>
      </w:r>
      <w:r w:rsidR="00E83C7D">
        <w:t xml:space="preserve"> claim to privilege </w:t>
      </w:r>
      <w:r>
        <w:t xml:space="preserve">in the emails </w:t>
      </w:r>
      <w:r w:rsidR="00E83C7D">
        <w:t xml:space="preserve">has </w:t>
      </w:r>
      <w:r w:rsidR="001D5542">
        <w:t xml:space="preserve">apparently </w:t>
      </w:r>
      <w:r w:rsidR="00E83C7D">
        <w:t>not been challenged</w:t>
      </w:r>
      <w:r w:rsidR="00265D3B">
        <w:t xml:space="preserve">.  </w:t>
      </w:r>
      <w:r w:rsidR="00E83C7D">
        <w:t xml:space="preserve">It may be that redacted versions of the emails have </w:t>
      </w:r>
      <w:r w:rsidR="00660BAC">
        <w:t xml:space="preserve">already </w:t>
      </w:r>
      <w:r w:rsidR="00E83C7D">
        <w:t xml:space="preserve">been provided </w:t>
      </w:r>
      <w:r w:rsidR="00596A40">
        <w:t>to INPEX</w:t>
      </w:r>
      <w:r w:rsidR="00265D3B">
        <w:t xml:space="preserve">.  </w:t>
      </w:r>
      <w:r w:rsidR="001F3CCE">
        <w:t xml:space="preserve">Experience suggests that there will be many parts of the emails that contain communications that are not confidential and are not </w:t>
      </w:r>
      <w:r w:rsidR="00C45546">
        <w:t>privileged</w:t>
      </w:r>
      <w:r w:rsidR="001F3CCE">
        <w:t xml:space="preserve"> (at </w:t>
      </w:r>
      <w:r w:rsidR="001D5542">
        <w:t>minimum</w:t>
      </w:r>
      <w:r w:rsidR="001F3CCE">
        <w:t xml:space="preserve">, for example, dates, </w:t>
      </w:r>
      <w:r w:rsidR="00596A40">
        <w:t xml:space="preserve">authors, </w:t>
      </w:r>
      <w:r w:rsidR="001F3CCE">
        <w:t xml:space="preserve">recipients, headings, </w:t>
      </w:r>
      <w:r w:rsidR="00C45546">
        <w:t>etc)</w:t>
      </w:r>
      <w:r w:rsidR="00265D3B">
        <w:t xml:space="preserve">.  </w:t>
      </w:r>
      <w:r w:rsidR="00C45546">
        <w:t xml:space="preserve">For present purposes I will assume </w:t>
      </w:r>
      <w:r w:rsidR="00537B23">
        <w:t xml:space="preserve">the </w:t>
      </w:r>
      <w:r w:rsidR="00660BAC">
        <w:t>privilege</w:t>
      </w:r>
      <w:r w:rsidR="00537B23">
        <w:t xml:space="preserve"> claim</w:t>
      </w:r>
      <w:r w:rsidR="00660BAC">
        <w:t xml:space="preserve"> is not </w:t>
      </w:r>
      <w:r w:rsidR="00537B23">
        <w:t>challenged by INPEX.</w:t>
      </w:r>
    </w:p>
    <w:p w14:paraId="60E96833" w14:textId="465E75D6" w:rsidR="00BA63BF" w:rsidRDefault="006147FB" w:rsidP="00D378C3">
      <w:pPr>
        <w:pStyle w:val="ParaNumbering"/>
      </w:pPr>
      <w:r>
        <w:t>INPEX contends that any priv</w:t>
      </w:r>
      <w:r w:rsidR="00B42445">
        <w:t>ilege</w:t>
      </w:r>
      <w:r>
        <w:t xml:space="preserve"> that may have exi</w:t>
      </w:r>
      <w:r w:rsidR="00B42445">
        <w:t>s</w:t>
      </w:r>
      <w:r>
        <w:t xml:space="preserve">ted in such </w:t>
      </w:r>
      <w:r w:rsidR="00B42445">
        <w:t>communications</w:t>
      </w:r>
      <w:r>
        <w:t xml:space="preserve"> has been waived by ANIP disclosing the </w:t>
      </w:r>
      <w:r w:rsidR="00B42445">
        <w:t>substance</w:t>
      </w:r>
      <w:r>
        <w:t xml:space="preserve"> of the </w:t>
      </w:r>
      <w:r w:rsidR="00B42445">
        <w:t>communications</w:t>
      </w:r>
      <w:r>
        <w:t xml:space="preserve"> and </w:t>
      </w:r>
      <w:r w:rsidR="00B42445">
        <w:t xml:space="preserve">relying on the communications as the basis for </w:t>
      </w:r>
      <w:r w:rsidR="00232F19">
        <w:t>Ms </w:t>
      </w:r>
      <w:r w:rsidR="00B42445">
        <w:t>Lancaster's belief</w:t>
      </w:r>
      <w:r w:rsidR="00265D3B">
        <w:t xml:space="preserve">.  </w:t>
      </w:r>
      <w:r w:rsidR="00D43090">
        <w:t xml:space="preserve">INPEX asserts that </w:t>
      </w:r>
      <w:r w:rsidR="00232F19">
        <w:t>Ms </w:t>
      </w:r>
      <w:r w:rsidR="00D43090">
        <w:t xml:space="preserve">Lancaster made the disclosure of the </w:t>
      </w:r>
      <w:r w:rsidR="00911116">
        <w:t xml:space="preserve">communications </w:t>
      </w:r>
      <w:r w:rsidR="00D759A4">
        <w:t xml:space="preserve">knowingly and </w:t>
      </w:r>
      <w:r w:rsidR="00911116">
        <w:t>voluntarily</w:t>
      </w:r>
      <w:r w:rsidR="00265D3B">
        <w:t>.</w:t>
      </w:r>
    </w:p>
    <w:p w14:paraId="76E2CFC5" w14:textId="389B5BEA" w:rsidR="00002AD6" w:rsidRPr="00AA0BF3" w:rsidRDefault="00BA63BF" w:rsidP="005914FE">
      <w:pPr>
        <w:pStyle w:val="ParaNumbering"/>
        <w:rPr>
          <w:szCs w:val="24"/>
        </w:rPr>
      </w:pPr>
      <w:r w:rsidRPr="00AA0BF3">
        <w:rPr>
          <w:szCs w:val="24"/>
        </w:rPr>
        <w:t>INPEX</w:t>
      </w:r>
      <w:r w:rsidR="008F3FD1" w:rsidRPr="00AA0BF3">
        <w:rPr>
          <w:szCs w:val="24"/>
        </w:rPr>
        <w:t xml:space="preserve"> does not suggest that</w:t>
      </w:r>
      <w:r w:rsidRPr="00AA0BF3">
        <w:rPr>
          <w:szCs w:val="24"/>
        </w:rPr>
        <w:t>,</w:t>
      </w:r>
      <w:r w:rsidR="008F3FD1" w:rsidRPr="00AA0BF3">
        <w:rPr>
          <w:szCs w:val="24"/>
        </w:rPr>
        <w:t xml:space="preserve"> </w:t>
      </w:r>
      <w:r w:rsidR="000144E3" w:rsidRPr="00AA0BF3">
        <w:rPr>
          <w:szCs w:val="24"/>
        </w:rPr>
        <w:t>as a general proposition</w:t>
      </w:r>
      <w:r w:rsidRPr="00AA0BF3">
        <w:rPr>
          <w:szCs w:val="24"/>
        </w:rPr>
        <w:t>,</w:t>
      </w:r>
      <w:r w:rsidR="000144E3" w:rsidRPr="00AA0BF3">
        <w:rPr>
          <w:szCs w:val="24"/>
        </w:rPr>
        <w:t xml:space="preserve"> where an affidavit is sworn on information and belief, privilege in </w:t>
      </w:r>
      <w:r w:rsidR="009D69C8" w:rsidRPr="00AA0BF3">
        <w:rPr>
          <w:szCs w:val="24"/>
        </w:rPr>
        <w:t>a</w:t>
      </w:r>
      <w:r w:rsidR="003B0BF7">
        <w:rPr>
          <w:szCs w:val="24"/>
        </w:rPr>
        <w:t>n underlying</w:t>
      </w:r>
      <w:r w:rsidR="000144E3" w:rsidRPr="00AA0BF3">
        <w:rPr>
          <w:szCs w:val="24"/>
        </w:rPr>
        <w:t xml:space="preserve"> </w:t>
      </w:r>
      <w:r w:rsidR="00771A81" w:rsidRPr="00AA0BF3">
        <w:rPr>
          <w:szCs w:val="24"/>
        </w:rPr>
        <w:t>communication</w:t>
      </w:r>
      <w:r w:rsidR="000144E3" w:rsidRPr="00AA0BF3">
        <w:rPr>
          <w:szCs w:val="24"/>
        </w:rPr>
        <w:t xml:space="preserve"> will be lost</w:t>
      </w:r>
      <w:r w:rsidR="00265D3B" w:rsidRPr="00AA0BF3">
        <w:rPr>
          <w:szCs w:val="24"/>
        </w:rPr>
        <w:t xml:space="preserve">.  </w:t>
      </w:r>
      <w:r w:rsidR="00FF6E3A" w:rsidRPr="00AA0BF3">
        <w:rPr>
          <w:szCs w:val="24"/>
        </w:rPr>
        <w:t xml:space="preserve">It </w:t>
      </w:r>
      <w:r w:rsidR="00771A81" w:rsidRPr="00AA0BF3">
        <w:rPr>
          <w:szCs w:val="24"/>
        </w:rPr>
        <w:t>is</w:t>
      </w:r>
      <w:r w:rsidR="00FF6E3A" w:rsidRPr="00AA0BF3">
        <w:rPr>
          <w:szCs w:val="24"/>
        </w:rPr>
        <w:t xml:space="preserve"> possible in such </w:t>
      </w:r>
      <w:r w:rsidR="00FB713E" w:rsidRPr="00AA0BF3">
        <w:rPr>
          <w:szCs w:val="24"/>
        </w:rPr>
        <w:t>circumstances</w:t>
      </w:r>
      <w:r w:rsidR="00FF6E3A" w:rsidRPr="00AA0BF3">
        <w:rPr>
          <w:szCs w:val="24"/>
        </w:rPr>
        <w:t xml:space="preserve"> for there to be a waiver of privilege</w:t>
      </w:r>
      <w:r w:rsidR="00265D3B" w:rsidRPr="00AA0BF3">
        <w:rPr>
          <w:szCs w:val="24"/>
        </w:rPr>
        <w:t xml:space="preserve">.  </w:t>
      </w:r>
      <w:r w:rsidR="009F42E1" w:rsidRPr="00AA0BF3">
        <w:rPr>
          <w:szCs w:val="24"/>
        </w:rPr>
        <w:t>An example is provided by</w:t>
      </w:r>
      <w:r w:rsidR="00FF6E3A" w:rsidRPr="00AA0BF3">
        <w:rPr>
          <w:szCs w:val="24"/>
        </w:rPr>
        <w:t xml:space="preserve"> </w:t>
      </w:r>
      <w:r w:rsidR="00FF6E3A" w:rsidRPr="00817865">
        <w:rPr>
          <w:i/>
          <w:iCs/>
          <w:szCs w:val="24"/>
        </w:rPr>
        <w:t xml:space="preserve">Banksia </w:t>
      </w:r>
      <w:r w:rsidR="00FB713E" w:rsidRPr="00817865">
        <w:rPr>
          <w:i/>
          <w:iCs/>
          <w:szCs w:val="24"/>
        </w:rPr>
        <w:t>Mortgages</w:t>
      </w:r>
      <w:r w:rsidR="00FF6E3A" w:rsidRPr="00817865">
        <w:rPr>
          <w:i/>
          <w:iCs/>
          <w:szCs w:val="24"/>
        </w:rPr>
        <w:t xml:space="preserve"> Ltd </w:t>
      </w:r>
      <w:r w:rsidR="00FB713E" w:rsidRPr="00817865">
        <w:rPr>
          <w:i/>
          <w:iCs/>
          <w:szCs w:val="24"/>
        </w:rPr>
        <w:t>v</w:t>
      </w:r>
      <w:r w:rsidR="00FF6E3A" w:rsidRPr="00817865">
        <w:rPr>
          <w:i/>
          <w:iCs/>
          <w:szCs w:val="24"/>
        </w:rPr>
        <w:t xml:space="preserve"> Croker </w:t>
      </w:r>
      <w:r w:rsidR="00FF6E3A" w:rsidRPr="00817865">
        <w:rPr>
          <w:szCs w:val="24"/>
        </w:rPr>
        <w:t>[2010] NSW</w:t>
      </w:r>
      <w:r w:rsidR="00771A81" w:rsidRPr="00817865">
        <w:rPr>
          <w:szCs w:val="24"/>
        </w:rPr>
        <w:t>SC 535</w:t>
      </w:r>
      <w:r w:rsidR="00DF1731" w:rsidRPr="00AA0BF3">
        <w:rPr>
          <w:szCs w:val="24"/>
        </w:rPr>
        <w:t xml:space="preserve">, in which </w:t>
      </w:r>
      <w:r w:rsidR="00DC146F" w:rsidRPr="00AA0BF3">
        <w:rPr>
          <w:szCs w:val="24"/>
        </w:rPr>
        <w:t xml:space="preserve">information </w:t>
      </w:r>
      <w:r w:rsidR="00DF1731" w:rsidRPr="00AA0BF3">
        <w:rPr>
          <w:szCs w:val="24"/>
        </w:rPr>
        <w:t xml:space="preserve">including disclosure </w:t>
      </w:r>
      <w:r w:rsidR="00DC146F" w:rsidRPr="00AA0BF3">
        <w:rPr>
          <w:szCs w:val="24"/>
        </w:rPr>
        <w:t xml:space="preserve">about identified emails </w:t>
      </w:r>
      <w:r w:rsidR="00DF1731" w:rsidRPr="00AA0BF3">
        <w:rPr>
          <w:szCs w:val="24"/>
        </w:rPr>
        <w:t xml:space="preserve">was deployed for the purpose of a </w:t>
      </w:r>
      <w:r w:rsidR="00DC146F" w:rsidRPr="00AA0BF3">
        <w:rPr>
          <w:szCs w:val="24"/>
        </w:rPr>
        <w:t>summary</w:t>
      </w:r>
      <w:r w:rsidR="00DF1731" w:rsidRPr="00AA0BF3">
        <w:rPr>
          <w:szCs w:val="24"/>
        </w:rPr>
        <w:t xml:space="preserve"> judgment application</w:t>
      </w:r>
      <w:r w:rsidR="00265D3B" w:rsidRPr="00AA0BF3">
        <w:rPr>
          <w:szCs w:val="24"/>
        </w:rPr>
        <w:t xml:space="preserve">.  </w:t>
      </w:r>
      <w:r w:rsidR="00E65FDC" w:rsidRPr="00AA0BF3">
        <w:rPr>
          <w:szCs w:val="24"/>
        </w:rPr>
        <w:t>Pri</w:t>
      </w:r>
      <w:r w:rsidR="00DD6682" w:rsidRPr="00AA0BF3">
        <w:rPr>
          <w:szCs w:val="24"/>
        </w:rPr>
        <w:t>vilege</w:t>
      </w:r>
      <w:r w:rsidR="00E65FDC" w:rsidRPr="00AA0BF3">
        <w:rPr>
          <w:szCs w:val="24"/>
        </w:rPr>
        <w:t xml:space="preserve"> in the e</w:t>
      </w:r>
      <w:r w:rsidR="00DD6682" w:rsidRPr="00AA0BF3">
        <w:rPr>
          <w:szCs w:val="24"/>
        </w:rPr>
        <w:t>m</w:t>
      </w:r>
      <w:r w:rsidR="00E65FDC" w:rsidRPr="00AA0BF3">
        <w:rPr>
          <w:szCs w:val="24"/>
        </w:rPr>
        <w:t xml:space="preserve">ails was </w:t>
      </w:r>
      <w:r w:rsidR="00DD6682" w:rsidRPr="00AA0BF3">
        <w:rPr>
          <w:szCs w:val="24"/>
        </w:rPr>
        <w:t>found</w:t>
      </w:r>
      <w:r w:rsidR="00E65FDC" w:rsidRPr="00AA0BF3">
        <w:rPr>
          <w:szCs w:val="24"/>
        </w:rPr>
        <w:t xml:space="preserve"> to have been waived (at </w:t>
      </w:r>
      <w:r w:rsidR="000014C6" w:rsidRPr="00AA0BF3">
        <w:rPr>
          <w:szCs w:val="24"/>
        </w:rPr>
        <w:t>[35]-[</w:t>
      </w:r>
      <w:r w:rsidR="00DD6682" w:rsidRPr="00AA0BF3">
        <w:rPr>
          <w:szCs w:val="24"/>
        </w:rPr>
        <w:t>39])</w:t>
      </w:r>
      <w:r w:rsidR="00265D3B" w:rsidRPr="00AA0BF3">
        <w:rPr>
          <w:szCs w:val="24"/>
        </w:rPr>
        <w:t xml:space="preserve">.  </w:t>
      </w:r>
      <w:r w:rsidR="008D0AF1" w:rsidRPr="00AA0BF3">
        <w:rPr>
          <w:szCs w:val="24"/>
        </w:rPr>
        <w:t xml:space="preserve">However, it is always necessary </w:t>
      </w:r>
      <w:r w:rsidR="00002AD6" w:rsidRPr="00AA0BF3">
        <w:rPr>
          <w:szCs w:val="24"/>
        </w:rPr>
        <w:t>to focus on the particular scenario</w:t>
      </w:r>
      <w:r w:rsidR="00265D3B" w:rsidRPr="00AA0BF3">
        <w:rPr>
          <w:szCs w:val="24"/>
        </w:rPr>
        <w:t xml:space="preserve">.  </w:t>
      </w:r>
      <w:r w:rsidR="008D0AF1" w:rsidRPr="00AA0BF3">
        <w:rPr>
          <w:szCs w:val="24"/>
        </w:rPr>
        <w:t>Q</w:t>
      </w:r>
      <w:r w:rsidR="00002AD6" w:rsidRPr="00AA0BF3">
        <w:rPr>
          <w:szCs w:val="24"/>
        </w:rPr>
        <w:t>uestions of waiver are always matters of fact and degree, to be considered in the given context</w:t>
      </w:r>
      <w:r w:rsidR="00FB1F68" w:rsidRPr="00AA0BF3">
        <w:rPr>
          <w:szCs w:val="24"/>
        </w:rPr>
        <w:t xml:space="preserve">:  </w:t>
      </w:r>
      <w:r w:rsidR="00FB1F68" w:rsidRPr="00817865">
        <w:rPr>
          <w:i/>
          <w:iCs/>
          <w:szCs w:val="24"/>
        </w:rPr>
        <w:t xml:space="preserve">Osland </w:t>
      </w:r>
      <w:r w:rsidR="000F2413" w:rsidRPr="00817865">
        <w:rPr>
          <w:i/>
          <w:iCs/>
          <w:szCs w:val="24"/>
        </w:rPr>
        <w:t>v Secretary to the Department of Justice</w:t>
      </w:r>
      <w:r w:rsidR="000F2413" w:rsidRPr="00817865">
        <w:rPr>
          <w:szCs w:val="24"/>
        </w:rPr>
        <w:t xml:space="preserve"> </w:t>
      </w:r>
      <w:r w:rsidR="004D3DB1" w:rsidRPr="00817865">
        <w:rPr>
          <w:szCs w:val="24"/>
        </w:rPr>
        <w:t xml:space="preserve">[2008] HCA 37; </w:t>
      </w:r>
      <w:r w:rsidR="00121053" w:rsidRPr="00817865">
        <w:rPr>
          <w:szCs w:val="24"/>
        </w:rPr>
        <w:t>(2008) 234 CLR 275</w:t>
      </w:r>
      <w:r w:rsidR="00B00C7D" w:rsidRPr="00AA0BF3">
        <w:rPr>
          <w:szCs w:val="24"/>
        </w:rPr>
        <w:t xml:space="preserve"> </w:t>
      </w:r>
      <w:r w:rsidR="000F2413" w:rsidRPr="00AA0BF3">
        <w:rPr>
          <w:szCs w:val="24"/>
        </w:rPr>
        <w:t xml:space="preserve">at </w:t>
      </w:r>
      <w:r w:rsidR="0094684E" w:rsidRPr="00AA0BF3">
        <w:rPr>
          <w:szCs w:val="24"/>
        </w:rPr>
        <w:t>[45]</w:t>
      </w:r>
      <w:r w:rsidR="00B72292" w:rsidRPr="00AA0BF3">
        <w:rPr>
          <w:szCs w:val="24"/>
        </w:rPr>
        <w:t>,</w:t>
      </w:r>
      <w:r w:rsidR="0094684E" w:rsidRPr="00AA0BF3">
        <w:rPr>
          <w:szCs w:val="24"/>
        </w:rPr>
        <w:t xml:space="preserve"> [49]</w:t>
      </w:r>
      <w:r w:rsidR="00265D3B" w:rsidRPr="00AA0BF3">
        <w:rPr>
          <w:szCs w:val="24"/>
        </w:rPr>
        <w:t>.</w:t>
      </w:r>
    </w:p>
    <w:p w14:paraId="7E620744" w14:textId="1996713A" w:rsidR="00810F04" w:rsidRDefault="00232F19" w:rsidP="00D378C3">
      <w:pPr>
        <w:pStyle w:val="ParaNumbering"/>
      </w:pPr>
      <w:r>
        <w:t>Ms </w:t>
      </w:r>
      <w:r w:rsidR="005B08DA">
        <w:t xml:space="preserve">Lancaster </w:t>
      </w:r>
      <w:r w:rsidR="00B72292">
        <w:t xml:space="preserve">in her </w:t>
      </w:r>
      <w:r w:rsidR="005914FE">
        <w:t xml:space="preserve">affidavit set out </w:t>
      </w:r>
      <w:r w:rsidR="002263E1">
        <w:t xml:space="preserve">matters of fact </w:t>
      </w:r>
      <w:r w:rsidR="00B72292">
        <w:t>without reference to any emails or documents</w:t>
      </w:r>
      <w:r w:rsidR="00265D3B">
        <w:t xml:space="preserve">.  </w:t>
      </w:r>
      <w:r w:rsidR="00D847A3">
        <w:t xml:space="preserve">Whilst I accept </w:t>
      </w:r>
      <w:r w:rsidR="00FE4417">
        <w:t xml:space="preserve">INPEX's submission </w:t>
      </w:r>
      <w:r w:rsidR="00D847A3">
        <w:t xml:space="preserve">that </w:t>
      </w:r>
      <w:r>
        <w:t>Ms </w:t>
      </w:r>
      <w:r w:rsidR="00D847A3">
        <w:t xml:space="preserve">Lancaster provided the information </w:t>
      </w:r>
      <w:r w:rsidR="00C87857">
        <w:t>in</w:t>
      </w:r>
      <w:r w:rsidR="00D847A3">
        <w:t xml:space="preserve"> the affidavit voluntarily (</w:t>
      </w:r>
      <w:r w:rsidR="00564A99">
        <w:t>having regard to what is said at [</w:t>
      </w:r>
      <w:r w:rsidR="00EA0AA6">
        <w:t>63</w:t>
      </w:r>
      <w:r w:rsidR="00564A99">
        <w:t xml:space="preserve">] above and </w:t>
      </w:r>
      <w:r w:rsidR="00D847A3">
        <w:t>regardless of the court order)</w:t>
      </w:r>
      <w:r w:rsidR="00D05AD8">
        <w:t xml:space="preserve">, I do not consider that her reference to those matters </w:t>
      </w:r>
      <w:r w:rsidR="00B8674E">
        <w:t xml:space="preserve">of fact </w:t>
      </w:r>
      <w:r w:rsidR="00D05AD8">
        <w:t xml:space="preserve">is inconsistent with a maintenance of privilege in the </w:t>
      </w:r>
      <w:r w:rsidR="00BF361C">
        <w:t xml:space="preserve">39 </w:t>
      </w:r>
      <w:r w:rsidR="00D05AD8">
        <w:t>emails</w:t>
      </w:r>
      <w:r w:rsidR="00BF14C0">
        <w:t xml:space="preserve"> that apparently led to the final version of her affidavit</w:t>
      </w:r>
      <w:r w:rsidR="00265D3B">
        <w:t>.</w:t>
      </w:r>
    </w:p>
    <w:p w14:paraId="1AB56C9E" w14:textId="35E94DF3" w:rsidR="000C1D33" w:rsidRDefault="000C1D33" w:rsidP="00D378C3">
      <w:pPr>
        <w:pStyle w:val="ParaNumbering"/>
      </w:pPr>
      <w:r>
        <w:t xml:space="preserve">The </w:t>
      </w:r>
      <w:r w:rsidR="00134D77">
        <w:t xml:space="preserve">observations of Forrest J in </w:t>
      </w:r>
      <w:r w:rsidR="00134D77" w:rsidRPr="00817865">
        <w:rPr>
          <w:i/>
          <w:iCs/>
        </w:rPr>
        <w:t xml:space="preserve">French v Triple M Melbourne Pty Ltd </w:t>
      </w:r>
      <w:r w:rsidR="00894FB2" w:rsidRPr="00817865">
        <w:rPr>
          <w:i/>
          <w:iCs/>
        </w:rPr>
        <w:t>(</w:t>
      </w:r>
      <w:r w:rsidR="00134D77" w:rsidRPr="00817865">
        <w:rPr>
          <w:i/>
          <w:iCs/>
        </w:rPr>
        <w:t xml:space="preserve">Ruling </w:t>
      </w:r>
      <w:r w:rsidR="00864473" w:rsidRPr="00817865">
        <w:rPr>
          <w:i/>
          <w:iCs/>
        </w:rPr>
        <w:t>N</w:t>
      </w:r>
      <w:r w:rsidR="00134D77" w:rsidRPr="00817865">
        <w:rPr>
          <w:i/>
          <w:iCs/>
        </w:rPr>
        <w:t>o 1)</w:t>
      </w:r>
      <w:r w:rsidR="00134D77" w:rsidRPr="00817865">
        <w:t xml:space="preserve"> [2008] VSC 547</w:t>
      </w:r>
      <w:r w:rsidR="00134D77">
        <w:t xml:space="preserve"> are useful </w:t>
      </w:r>
      <w:r w:rsidR="00864473">
        <w:t>in</w:t>
      </w:r>
      <w:r w:rsidR="00134D77">
        <w:t xml:space="preserve"> this regard:</w:t>
      </w:r>
    </w:p>
    <w:p w14:paraId="52256E7E" w14:textId="33200DF0" w:rsidR="001A07FD" w:rsidRDefault="001A07FD" w:rsidP="003C4FD8">
      <w:pPr>
        <w:pStyle w:val="Quote1"/>
        <w:ind w:left="1440" w:hanging="703"/>
      </w:pPr>
      <w:r>
        <w:t>[20]</w:t>
      </w:r>
      <w:r>
        <w:tab/>
        <w:t xml:space="preserve">In </w:t>
      </w:r>
      <w:r w:rsidRPr="00E61CBA">
        <w:rPr>
          <w:i/>
          <w:iCs/>
        </w:rPr>
        <w:t>Osland v Secretary to the Department of Justice</w:t>
      </w:r>
      <w:r w:rsidR="003C4FD8">
        <w:t xml:space="preserve">, </w:t>
      </w:r>
      <w:r>
        <w:t xml:space="preserve">Gleeson CJ, Gummow, </w:t>
      </w:r>
      <w:proofErr w:type="spellStart"/>
      <w:r>
        <w:t>Heydon</w:t>
      </w:r>
      <w:proofErr w:type="spellEnd"/>
      <w:r>
        <w:t xml:space="preserve"> and Kiefel JJ said as follows:</w:t>
      </w:r>
    </w:p>
    <w:p w14:paraId="010CBECE" w14:textId="0EA47C29" w:rsidR="001A07FD" w:rsidRDefault="001A07FD" w:rsidP="00860310">
      <w:pPr>
        <w:pStyle w:val="Quote2"/>
        <w:ind w:left="1701"/>
      </w:pPr>
      <w:r>
        <w:lastRenderedPageBreak/>
        <w:t xml:space="preserve">Waiver of the kind presently in question is sometimes described as implied waiver, and sometimes as waiver </w:t>
      </w:r>
      <w:r w:rsidR="00F11D51">
        <w:t>'</w:t>
      </w:r>
      <w:r>
        <w:t>imputed by operation of law</w:t>
      </w:r>
      <w:r w:rsidR="00F11D51">
        <w:t>'</w:t>
      </w:r>
      <w:r w:rsidR="00265D3B">
        <w:t xml:space="preserve">.  </w:t>
      </w:r>
      <w:r>
        <w:t>It reflects a judgment that the conduct of the party entitled to the privilege is inconsistent with the maintenance of the confidentiality which the privilege is intended to protect</w:t>
      </w:r>
      <w:r w:rsidR="00265D3B">
        <w:t xml:space="preserve">.  </w:t>
      </w:r>
      <w:r>
        <w:t>Such a judgment is to be made in the context and circumstances of the case, and in the light of any considerations of fairness arising from that context or those circumstances.</w:t>
      </w:r>
    </w:p>
    <w:p w14:paraId="61008EF2" w14:textId="737F327E" w:rsidR="001A07FD" w:rsidRDefault="001A07FD" w:rsidP="00860310">
      <w:pPr>
        <w:pStyle w:val="Quote2"/>
        <w:ind w:left="1701"/>
      </w:pPr>
      <w:r>
        <w:t>Whether, in a given context, a limited disclosure of the existence, and the effect, of legal advice is inconsistent with maintaining confidentiality in the terms of advice will depend upon the circumstances of the case</w:t>
      </w:r>
      <w:r w:rsidR="00265D3B">
        <w:t xml:space="preserve">.  </w:t>
      </w:r>
      <w:r>
        <w:t xml:space="preserve">As </w:t>
      </w:r>
      <w:proofErr w:type="spellStart"/>
      <w:r>
        <w:t>Tamberlin</w:t>
      </w:r>
      <w:proofErr w:type="spellEnd"/>
      <w:r>
        <w:t xml:space="preserve"> J said in </w:t>
      </w:r>
      <w:r w:rsidRPr="00043704">
        <w:rPr>
          <w:i/>
          <w:iCs/>
        </w:rPr>
        <w:t>Nine Films and Television Pty Ltd v Ninox Television Ltd</w:t>
      </w:r>
      <w:r>
        <w:t>, questions of waiver are matters of fact and degree</w:t>
      </w:r>
      <w:r w:rsidR="00265D3B">
        <w:t>.</w:t>
      </w:r>
    </w:p>
    <w:p w14:paraId="6D78B6E6" w14:textId="59F43D50" w:rsidR="001A07FD" w:rsidRDefault="001A07FD" w:rsidP="003C4FD8">
      <w:pPr>
        <w:pStyle w:val="Quote1"/>
        <w:ind w:left="1440" w:hanging="703"/>
      </w:pPr>
      <w:r>
        <w:t>[21]</w:t>
      </w:r>
      <w:r w:rsidR="003C4FD8">
        <w:tab/>
      </w:r>
      <w:r>
        <w:t>Mere identification of the existence of a document or, in the context of this case, a statement as to the existence of instructions does not of itself constitute a waiver</w:t>
      </w:r>
      <w:r w:rsidR="00265D3B">
        <w:t xml:space="preserve">.  </w:t>
      </w:r>
      <w:r>
        <w:t xml:space="preserve">In </w:t>
      </w:r>
      <w:r w:rsidRPr="00685168">
        <w:rPr>
          <w:i/>
          <w:iCs/>
        </w:rPr>
        <w:t xml:space="preserve">State of Victoria v </w:t>
      </w:r>
      <w:proofErr w:type="gramStart"/>
      <w:r w:rsidRPr="00685168">
        <w:rPr>
          <w:i/>
          <w:iCs/>
        </w:rPr>
        <w:t>Davies</w:t>
      </w:r>
      <w:proofErr w:type="gramEnd"/>
      <w:r>
        <w:t xml:space="preserve"> the Court of Appeal said:</w:t>
      </w:r>
    </w:p>
    <w:p w14:paraId="20488616" w14:textId="1BEAC2DF" w:rsidR="00622D5F" w:rsidRDefault="001A07FD" w:rsidP="002351FA">
      <w:pPr>
        <w:pStyle w:val="Quote2"/>
        <w:ind w:left="1701"/>
      </w:pPr>
      <w:r>
        <w:t xml:space="preserve">As Gibbs CJ stated in </w:t>
      </w:r>
      <w:r w:rsidRPr="00685168">
        <w:rPr>
          <w:i/>
          <w:iCs/>
        </w:rPr>
        <w:t>Attorney General (NT) v Maurice</w:t>
      </w:r>
      <w:r>
        <w:t xml:space="preserve"> by reference to authority, it has been held that the privilege in respect of a document is not waived by the mere reference to that document in pleadings or in an affidavit, although the position will be different if the document is reproduced in full in the pleading or affidavit.</w:t>
      </w:r>
    </w:p>
    <w:p w14:paraId="2A19BD41" w14:textId="033A7701" w:rsidR="00622D5F" w:rsidRDefault="00622D5F" w:rsidP="002351FA">
      <w:pPr>
        <w:pStyle w:val="Quote1"/>
      </w:pPr>
      <w:r>
        <w:t>…</w:t>
      </w:r>
    </w:p>
    <w:p w14:paraId="3790DDEE" w14:textId="4669D68A" w:rsidR="008C4CDF" w:rsidRDefault="006F0E49" w:rsidP="009C44F9">
      <w:pPr>
        <w:pStyle w:val="Quote1"/>
        <w:ind w:left="1440" w:hanging="703"/>
      </w:pPr>
      <w:r>
        <w:t>[23]</w:t>
      </w:r>
      <w:r>
        <w:tab/>
      </w:r>
      <w:r w:rsidR="00974EDF">
        <w:t>In my view, what was done by the letter of 5 November is no different to what is done day in day out by solicitors either forwarding a letter of demand or responding to allegations made by another party</w:t>
      </w:r>
      <w:r w:rsidR="00265D3B">
        <w:t xml:space="preserve">.  </w:t>
      </w:r>
      <w:r w:rsidR="00974EDF">
        <w:t>Such demands or responses are made upon instructions (which may be stated expressly or implicitly) given by the client; there is, in my view, no inconsistency in the requisite sense where a solicitor sets out the client</w:t>
      </w:r>
      <w:r w:rsidR="002351FA">
        <w:t>'</w:t>
      </w:r>
      <w:r w:rsidR="00974EDF">
        <w:t>s instructions in respect of matters of fact</w:t>
      </w:r>
      <w:r w:rsidR="00265D3B">
        <w:t xml:space="preserve">.  </w:t>
      </w:r>
      <w:r w:rsidR="00974EDF">
        <w:t xml:space="preserve">In this case, the reference to taking instructions and then asserting that </w:t>
      </w:r>
      <w:r w:rsidR="002351FA">
        <w:t>'</w:t>
      </w:r>
      <w:r w:rsidR="00974EDF">
        <w:t>the response was based on instructions</w:t>
      </w:r>
      <w:r w:rsidR="002351FA">
        <w:t>'</w:t>
      </w:r>
      <w:r w:rsidR="00974EDF">
        <w:t xml:space="preserve"> cannot, without more, place this letter in any different position to any other letter asserting or disputing factual contentions based on instructions given by the client</w:t>
      </w:r>
      <w:r w:rsidR="00265D3B">
        <w:t>.</w:t>
      </w:r>
    </w:p>
    <w:p w14:paraId="4FE34DEF" w14:textId="269240D1" w:rsidR="009C44F9" w:rsidRDefault="009C44F9" w:rsidP="009C44F9">
      <w:pPr>
        <w:pStyle w:val="Quote1"/>
        <w:spacing w:after="360"/>
      </w:pPr>
      <w:r>
        <w:t>(footnotes omitted)</w:t>
      </w:r>
    </w:p>
    <w:p w14:paraId="05DB33EE" w14:textId="22700FC9" w:rsidR="00693704" w:rsidRDefault="00693704" w:rsidP="00D378C3">
      <w:pPr>
        <w:pStyle w:val="ParaNumbering"/>
      </w:pPr>
      <w:r>
        <w:t xml:space="preserve">It can similarly be said that the affidavit sets out a number of facts </w:t>
      </w:r>
      <w:r w:rsidR="002E6582">
        <w:t>that are the</w:t>
      </w:r>
      <w:r>
        <w:t xml:space="preserve"> client</w:t>
      </w:r>
      <w:r w:rsidR="00787F57">
        <w:t xml:space="preserve">'s </w:t>
      </w:r>
      <w:r>
        <w:t xml:space="preserve">instructions </w:t>
      </w:r>
      <w:r w:rsidR="00787F57">
        <w:t xml:space="preserve">in respect of those facts, </w:t>
      </w:r>
      <w:r>
        <w:t xml:space="preserve">but without </w:t>
      </w:r>
      <w:r w:rsidR="00AD01AA">
        <w:t>waiving privilege in those instructions</w:t>
      </w:r>
      <w:r>
        <w:t>.</w:t>
      </w:r>
    </w:p>
    <w:p w14:paraId="25A7E2A4" w14:textId="776C9E0D" w:rsidR="00ED3EA1" w:rsidRDefault="00864473" w:rsidP="00D378C3">
      <w:pPr>
        <w:pStyle w:val="ParaNumbering"/>
      </w:pPr>
      <w:r>
        <w:t>The question of whether there was waiver arising out of the cross-examination is more finely balanced</w:t>
      </w:r>
      <w:r w:rsidR="00265D3B">
        <w:t xml:space="preserve">.  </w:t>
      </w:r>
      <w:r>
        <w:t>The</w:t>
      </w:r>
      <w:r w:rsidR="00810F04">
        <w:t xml:space="preserve"> </w:t>
      </w:r>
      <w:r w:rsidR="002263E1">
        <w:t>cross-</w:t>
      </w:r>
      <w:r w:rsidR="005B08DA">
        <w:t>examination</w:t>
      </w:r>
      <w:r w:rsidR="00810F04">
        <w:t xml:space="preserve"> </w:t>
      </w:r>
      <w:r w:rsidR="00EA27F2">
        <w:t>traversed Ms</w:t>
      </w:r>
      <w:r w:rsidR="006270B3">
        <w:t> </w:t>
      </w:r>
      <w:r w:rsidR="00EA27F2">
        <w:t xml:space="preserve">Lancaster's </w:t>
      </w:r>
      <w:r w:rsidR="004253AB">
        <w:t xml:space="preserve">understanding of discovery processes and obligations. </w:t>
      </w:r>
      <w:r w:rsidR="00344E69">
        <w:t>It</w:t>
      </w:r>
      <w:r w:rsidR="002A1F8A">
        <w:t xml:space="preserve"> revealed</w:t>
      </w:r>
      <w:r w:rsidR="00344E69">
        <w:t xml:space="preserve"> </w:t>
      </w:r>
      <w:r w:rsidR="00810F04">
        <w:t xml:space="preserve">the process by which the </w:t>
      </w:r>
      <w:r w:rsidR="00A039F4">
        <w:t>affidavit</w:t>
      </w:r>
      <w:r w:rsidR="00810F04">
        <w:t xml:space="preserve"> was prepared</w:t>
      </w:r>
      <w:r w:rsidR="00282CA4">
        <w:t xml:space="preserve"> and the existence of the emails</w:t>
      </w:r>
      <w:r w:rsidR="00265D3B">
        <w:t xml:space="preserve">.  </w:t>
      </w:r>
      <w:r w:rsidR="00810764">
        <w:t>It revealed that Ms</w:t>
      </w:r>
      <w:r w:rsidR="006270B3">
        <w:t> </w:t>
      </w:r>
      <w:r w:rsidR="00810764">
        <w:t>Lancaster spoke to Clayton Utz</w:t>
      </w:r>
      <w:r w:rsidR="00592D24">
        <w:t xml:space="preserve"> 'who were preparing</w:t>
      </w:r>
      <w:r w:rsidR="00A21B38">
        <w:t>'</w:t>
      </w:r>
      <w:r w:rsidR="00592D24">
        <w:t xml:space="preserve"> the affidavit</w:t>
      </w:r>
      <w:r w:rsidR="00592D24" w:rsidRPr="00592D24">
        <w:rPr>
          <w:lang w:eastAsia="en-AU"/>
        </w:rPr>
        <w:t xml:space="preserve"> </w:t>
      </w:r>
      <w:r w:rsidR="00592D24">
        <w:rPr>
          <w:lang w:eastAsia="en-AU"/>
        </w:rPr>
        <w:t>but not Mr</w:t>
      </w:r>
      <w:r w:rsidR="006270B3">
        <w:rPr>
          <w:lang w:eastAsia="en-AU"/>
        </w:rPr>
        <w:t> </w:t>
      </w:r>
      <w:r w:rsidR="00592D24">
        <w:rPr>
          <w:lang w:eastAsia="en-AU"/>
        </w:rPr>
        <w:t>Gutierrez or Mr</w:t>
      </w:r>
      <w:r w:rsidR="006270B3">
        <w:rPr>
          <w:lang w:eastAsia="en-AU"/>
        </w:rPr>
        <w:t> </w:t>
      </w:r>
      <w:r w:rsidR="00592D24">
        <w:rPr>
          <w:lang w:eastAsia="en-AU"/>
        </w:rPr>
        <w:t>Syed</w:t>
      </w:r>
      <w:r w:rsidR="00592D24">
        <w:t xml:space="preserve">.  </w:t>
      </w:r>
      <w:r w:rsidR="00585276">
        <w:t xml:space="preserve">She </w:t>
      </w:r>
      <w:r w:rsidR="001F0660">
        <w:t>accepted that</w:t>
      </w:r>
      <w:r w:rsidR="00585276">
        <w:t xml:space="preserve"> she made</w:t>
      </w:r>
      <w:r w:rsidR="001F0660">
        <w:t xml:space="preserve"> her</w:t>
      </w:r>
      <w:r w:rsidR="00585276">
        <w:t xml:space="preserve"> inquiries</w:t>
      </w:r>
      <w:r w:rsidR="00F2150B">
        <w:t xml:space="preserve"> about the apparent migration of mailboxes</w:t>
      </w:r>
      <w:r w:rsidR="00585276">
        <w:t xml:space="preserve"> through the agency of Clayton Utz.  </w:t>
      </w:r>
      <w:r w:rsidR="00A039F4">
        <w:t xml:space="preserve">The </w:t>
      </w:r>
      <w:r w:rsidR="00DB0805">
        <w:t xml:space="preserve">apparent </w:t>
      </w:r>
      <w:r w:rsidR="00A039F4">
        <w:t>involvement of Clayto</w:t>
      </w:r>
      <w:r w:rsidR="00581AD5">
        <w:t>n</w:t>
      </w:r>
      <w:r w:rsidR="00A039F4">
        <w:t xml:space="preserve"> </w:t>
      </w:r>
      <w:r w:rsidR="00581AD5">
        <w:t>Utz</w:t>
      </w:r>
      <w:r w:rsidR="00A039F4">
        <w:t xml:space="preserve"> at every step </w:t>
      </w:r>
      <w:r w:rsidR="00776D3A">
        <w:t xml:space="preserve">of the affidavit preparation and drafting </w:t>
      </w:r>
      <w:r w:rsidR="00A039F4">
        <w:t xml:space="preserve">was </w:t>
      </w:r>
      <w:r w:rsidR="00581AD5">
        <w:t>explained</w:t>
      </w:r>
      <w:r w:rsidR="00A039F4">
        <w:t xml:space="preserve"> by </w:t>
      </w:r>
      <w:r w:rsidR="00232F19">
        <w:t>Ms </w:t>
      </w:r>
      <w:r w:rsidR="00A039F4">
        <w:t>Lancaster</w:t>
      </w:r>
      <w:r w:rsidR="00265D3B">
        <w:t xml:space="preserve">.  </w:t>
      </w:r>
      <w:r w:rsidR="00A039F4">
        <w:t xml:space="preserve">It appears that the </w:t>
      </w:r>
      <w:r w:rsidR="00581AD5">
        <w:t>affidavit</w:t>
      </w:r>
      <w:r w:rsidR="00A039F4">
        <w:t xml:space="preserve"> was prepared by </w:t>
      </w:r>
      <w:r w:rsidR="00133A5C">
        <w:t>Clayton</w:t>
      </w:r>
      <w:r w:rsidR="00A039F4">
        <w:t xml:space="preserve"> Utz </w:t>
      </w:r>
      <w:r w:rsidR="00581AD5">
        <w:t xml:space="preserve">by </w:t>
      </w:r>
      <w:r w:rsidR="00A039F4">
        <w:lastRenderedPageBreak/>
        <w:t xml:space="preserve">gathering instructions </w:t>
      </w:r>
      <w:r w:rsidR="00581AD5">
        <w:t xml:space="preserve">from </w:t>
      </w:r>
      <w:r w:rsidR="00133A5C">
        <w:rPr>
          <w:lang w:eastAsia="en-AU"/>
        </w:rPr>
        <w:t>Mr</w:t>
      </w:r>
      <w:r w:rsidR="006270B3">
        <w:rPr>
          <w:lang w:eastAsia="en-AU"/>
        </w:rPr>
        <w:t> </w:t>
      </w:r>
      <w:r w:rsidR="00133A5C">
        <w:rPr>
          <w:lang w:eastAsia="en-AU"/>
        </w:rPr>
        <w:t>Gutierrez or Mr</w:t>
      </w:r>
      <w:r w:rsidR="006270B3">
        <w:rPr>
          <w:lang w:eastAsia="en-AU"/>
        </w:rPr>
        <w:t> </w:t>
      </w:r>
      <w:r w:rsidR="00133A5C">
        <w:rPr>
          <w:lang w:eastAsia="en-AU"/>
        </w:rPr>
        <w:t>Syed</w:t>
      </w:r>
      <w:r w:rsidR="00133A5C">
        <w:t xml:space="preserve"> (and potentially others), </w:t>
      </w:r>
      <w:r w:rsidR="00A039F4">
        <w:t>collating</w:t>
      </w:r>
      <w:r w:rsidR="00133A5C">
        <w:t xml:space="preserve"> the</w:t>
      </w:r>
      <w:r w:rsidR="00A039F4">
        <w:t xml:space="preserve"> </w:t>
      </w:r>
      <w:r w:rsidR="00133A5C">
        <w:t>information</w:t>
      </w:r>
      <w:r w:rsidR="00ED3EA1">
        <w:t xml:space="preserve"> and </w:t>
      </w:r>
      <w:r w:rsidR="00133A5C">
        <w:t>circulating</w:t>
      </w:r>
      <w:r w:rsidR="00A039F4">
        <w:t xml:space="preserve"> draft</w:t>
      </w:r>
      <w:r w:rsidR="00133A5C">
        <w:t>s of</w:t>
      </w:r>
      <w:r w:rsidR="00A039F4">
        <w:t xml:space="preserve"> the affidavit</w:t>
      </w:r>
      <w:r w:rsidR="00265D3B">
        <w:t xml:space="preserve">.  </w:t>
      </w:r>
      <w:r w:rsidR="00232F19">
        <w:t>Ms </w:t>
      </w:r>
      <w:r w:rsidR="00A42CC4">
        <w:t>Lancaster was included in the exchanges of emails</w:t>
      </w:r>
      <w:r w:rsidR="00D8365E">
        <w:t>.</w:t>
      </w:r>
    </w:p>
    <w:p w14:paraId="11D126A7" w14:textId="2ADAECB0" w:rsidR="00D8365E" w:rsidRDefault="00232F19" w:rsidP="00D378C3">
      <w:pPr>
        <w:pStyle w:val="ParaNumbering"/>
      </w:pPr>
      <w:r>
        <w:t>Ms </w:t>
      </w:r>
      <w:r w:rsidR="00D8365E">
        <w:t xml:space="preserve">Lancaster was </w:t>
      </w:r>
      <w:r w:rsidR="00123C0A">
        <w:t xml:space="preserve">cross-examined as a result of an order to that effect flowing from </w:t>
      </w:r>
      <w:r w:rsidR="00123C0A" w:rsidRPr="00123C0A">
        <w:rPr>
          <w:i/>
          <w:iCs/>
        </w:rPr>
        <w:t>INPEX (No 3)</w:t>
      </w:r>
      <w:r w:rsidR="00265D3B">
        <w:t xml:space="preserve">.  </w:t>
      </w:r>
      <w:r w:rsidR="00FD429D">
        <w:t xml:space="preserve">As already </w:t>
      </w:r>
      <w:r w:rsidR="008350CC">
        <w:t>observed</w:t>
      </w:r>
      <w:r w:rsidR="00FD429D">
        <w:t xml:space="preserve">, some of </w:t>
      </w:r>
      <w:r w:rsidR="008350CC">
        <w:t>her</w:t>
      </w:r>
      <w:r w:rsidR="00FD429D">
        <w:t xml:space="preserve"> evidence was revealing</w:t>
      </w:r>
      <w:r w:rsidR="00265D3B">
        <w:t xml:space="preserve">.  </w:t>
      </w:r>
      <w:r w:rsidR="00FF3803">
        <w:t xml:space="preserve">However, having been ordered to attend for cross-examination, </w:t>
      </w:r>
      <w:r>
        <w:t>Ms </w:t>
      </w:r>
      <w:r w:rsidR="00FF3803">
        <w:t>Lancaster was required to answer questions</w:t>
      </w:r>
      <w:r w:rsidR="00265D3B">
        <w:t xml:space="preserve">.  </w:t>
      </w:r>
      <w:r w:rsidR="00FF3803">
        <w:t>This context must be taken into account</w:t>
      </w:r>
      <w:r w:rsidR="00265D3B">
        <w:t xml:space="preserve">.  </w:t>
      </w:r>
      <w:r w:rsidR="00FF3803">
        <w:t xml:space="preserve">Further, </w:t>
      </w:r>
      <w:r w:rsidR="00A81103">
        <w:t xml:space="preserve">her </w:t>
      </w:r>
      <w:r w:rsidR="008350CC">
        <w:t xml:space="preserve">oral </w:t>
      </w:r>
      <w:r w:rsidR="00A81103">
        <w:t xml:space="preserve">evidence </w:t>
      </w:r>
      <w:r w:rsidR="00EE785E">
        <w:t xml:space="preserve">relevantly </w:t>
      </w:r>
      <w:r w:rsidR="00DF4898">
        <w:t xml:space="preserve">addressed the process undertaken to obtain information, </w:t>
      </w:r>
      <w:r w:rsidR="00086726">
        <w:t xml:space="preserve">and in </w:t>
      </w:r>
      <w:r w:rsidR="00DE755E">
        <w:t>particular</w:t>
      </w:r>
      <w:r w:rsidR="00086726">
        <w:t xml:space="preserve"> </w:t>
      </w:r>
      <w:r w:rsidR="008C7F06">
        <w:t xml:space="preserve">the extent of </w:t>
      </w:r>
      <w:r w:rsidR="00DC29AE">
        <w:t xml:space="preserve">any </w:t>
      </w:r>
      <w:r w:rsidR="00DE755E">
        <w:t>inquiries made</w:t>
      </w:r>
      <w:r w:rsidR="00EF28FA">
        <w:t xml:space="preserve"> by her or Clayton Utz</w:t>
      </w:r>
      <w:r w:rsidR="00DE755E">
        <w:t xml:space="preserve"> to locate persons who might assist </w:t>
      </w:r>
      <w:r w:rsidR="00DC29AE">
        <w:t>in providing information</w:t>
      </w:r>
      <w:r w:rsidR="00DE755E">
        <w:t xml:space="preserve">, </w:t>
      </w:r>
      <w:r w:rsidR="00DF4898">
        <w:t>rather than</w:t>
      </w:r>
      <w:r w:rsidR="00D827C6">
        <w:t xml:space="preserve"> </w:t>
      </w:r>
      <w:r w:rsidR="00DE4B81">
        <w:t>illuminating or disclosing further</w:t>
      </w:r>
      <w:r w:rsidR="00086726">
        <w:t xml:space="preserve"> the </w:t>
      </w:r>
      <w:r w:rsidR="00DF4898">
        <w:t>substance</w:t>
      </w:r>
      <w:r w:rsidR="00086726">
        <w:t xml:space="preserve"> of the emails</w:t>
      </w:r>
      <w:r w:rsidR="00265D3B">
        <w:t xml:space="preserve">.  </w:t>
      </w:r>
      <w:r w:rsidR="002969F2">
        <w:t>Although INPEX point</w:t>
      </w:r>
      <w:r w:rsidR="00220357">
        <w:t>s</w:t>
      </w:r>
      <w:r w:rsidR="002969F2">
        <w:t xml:space="preserve"> to the fact that </w:t>
      </w:r>
      <w:r>
        <w:t>Ms </w:t>
      </w:r>
      <w:r w:rsidR="002969F2">
        <w:t xml:space="preserve">Lancaster did not object to </w:t>
      </w:r>
      <w:r w:rsidR="00220357">
        <w:t xml:space="preserve">answering </w:t>
      </w:r>
      <w:r w:rsidR="002969F2">
        <w:t xml:space="preserve">questions on the basis of privilege, </w:t>
      </w:r>
      <w:r w:rsidR="00273687">
        <w:t>I am not convinced</w:t>
      </w:r>
      <w:r w:rsidR="002969F2">
        <w:t xml:space="preserve"> that answers she gave were of </w:t>
      </w:r>
      <w:r w:rsidR="00273687">
        <w:t xml:space="preserve">a </w:t>
      </w:r>
      <w:r w:rsidR="002969F2">
        <w:t xml:space="preserve">nature that disclosed or </w:t>
      </w:r>
      <w:r w:rsidR="004D4C1A">
        <w:t xml:space="preserve">sufficiently disclosed </w:t>
      </w:r>
      <w:r w:rsidR="002969F2">
        <w:t>pri</w:t>
      </w:r>
      <w:r w:rsidR="00394838">
        <w:t>vileged</w:t>
      </w:r>
      <w:r w:rsidR="002969F2">
        <w:t xml:space="preserve"> communications</w:t>
      </w:r>
      <w:r w:rsidR="00265D3B">
        <w:t xml:space="preserve">.  </w:t>
      </w:r>
      <w:r w:rsidR="00220357">
        <w:t>Failure</w:t>
      </w:r>
      <w:r w:rsidR="00C6066C">
        <w:t xml:space="preserve"> to </w:t>
      </w:r>
      <w:r w:rsidR="00062C2B">
        <w:t xml:space="preserve">object </w:t>
      </w:r>
      <w:r w:rsidR="00A100EE">
        <w:t xml:space="preserve">to answering a question </w:t>
      </w:r>
      <w:r w:rsidR="00062C2B">
        <w:t xml:space="preserve">on the basis of </w:t>
      </w:r>
      <w:r w:rsidR="00C6066C">
        <w:t xml:space="preserve">privilege </w:t>
      </w:r>
      <w:r w:rsidR="00062C2B">
        <w:t>during oral evidence</w:t>
      </w:r>
      <w:r w:rsidR="00C6066C">
        <w:t xml:space="preserve"> is not </w:t>
      </w:r>
      <w:r w:rsidR="00220357">
        <w:t>necessarily</w:t>
      </w:r>
      <w:r w:rsidR="00C6066C">
        <w:t xml:space="preserve"> sufficient to render a </w:t>
      </w:r>
      <w:r w:rsidR="00220357">
        <w:t>disclosure</w:t>
      </w:r>
      <w:r w:rsidR="00C6066C">
        <w:t xml:space="preserve"> voluntary or </w:t>
      </w:r>
      <w:r w:rsidR="00220357">
        <w:t xml:space="preserve">indicate waiver of </w:t>
      </w:r>
      <w:r w:rsidR="00513792">
        <w:t>privilege</w:t>
      </w:r>
      <w:r w:rsidR="00C6066C">
        <w:t xml:space="preserve"> in any </w:t>
      </w:r>
      <w:r w:rsidR="00513792">
        <w:t>particular</w:t>
      </w:r>
      <w:r w:rsidR="00C6066C">
        <w:t xml:space="preserve"> </w:t>
      </w:r>
      <w:r w:rsidR="00513792">
        <w:t>circumstances</w:t>
      </w:r>
      <w:r w:rsidR="00C6066C">
        <w:t xml:space="preserve">:  see, for example, </w:t>
      </w:r>
      <w:r w:rsidR="00C6066C" w:rsidRPr="00817865">
        <w:rPr>
          <w:i/>
          <w:iCs/>
        </w:rPr>
        <w:t>R</w:t>
      </w:r>
      <w:r w:rsidR="00513792" w:rsidRPr="00817865">
        <w:rPr>
          <w:i/>
          <w:iCs/>
        </w:rPr>
        <w:t>o</w:t>
      </w:r>
      <w:r w:rsidR="00C6066C" w:rsidRPr="00817865">
        <w:rPr>
          <w:i/>
          <w:iCs/>
        </w:rPr>
        <w:t>berts-Smith</w:t>
      </w:r>
      <w:r w:rsidR="00E175CB" w:rsidRPr="00817865">
        <w:rPr>
          <w:i/>
          <w:iCs/>
        </w:rPr>
        <w:t xml:space="preserve"> v Fairfax Media Publications Pty Limited (No 33)</w:t>
      </w:r>
      <w:r w:rsidR="00C6066C" w:rsidRPr="00817865">
        <w:t xml:space="preserve"> </w:t>
      </w:r>
      <w:r w:rsidR="00513792" w:rsidRPr="00817865">
        <w:t>[</w:t>
      </w:r>
      <w:r w:rsidR="00C6066C" w:rsidRPr="00817865">
        <w:t>2022</w:t>
      </w:r>
      <w:r w:rsidR="00513792" w:rsidRPr="00817865">
        <w:t>]</w:t>
      </w:r>
      <w:r w:rsidR="00C6066C" w:rsidRPr="00817865">
        <w:t xml:space="preserve"> FCA 420</w:t>
      </w:r>
      <w:r w:rsidR="00513792">
        <w:t xml:space="preserve"> at </w:t>
      </w:r>
      <w:r w:rsidR="00062C2B">
        <w:t>[</w:t>
      </w:r>
      <w:r w:rsidR="009A1E48">
        <w:t>32</w:t>
      </w:r>
      <w:r w:rsidR="00062C2B">
        <w:t>].</w:t>
      </w:r>
    </w:p>
    <w:p w14:paraId="0EAA732D" w14:textId="66E889A7" w:rsidR="00533C1F" w:rsidRDefault="00316770" w:rsidP="00D378C3">
      <w:pPr>
        <w:pStyle w:val="ParaNumbering"/>
      </w:pPr>
      <w:r>
        <w:t>There was limited evidence that might</w:t>
      </w:r>
      <w:r w:rsidR="00A100EE">
        <w:t xml:space="preserve"> </w:t>
      </w:r>
      <w:r>
        <w:t>point to a contrary conclusion</w:t>
      </w:r>
      <w:r w:rsidR="00265D3B">
        <w:t xml:space="preserve">.  </w:t>
      </w:r>
      <w:r>
        <w:t xml:space="preserve">For example, I take into account that at one point in the cross-examination </w:t>
      </w:r>
      <w:r w:rsidR="00232F19">
        <w:t>Ms </w:t>
      </w:r>
      <w:r>
        <w:t xml:space="preserve">Lancaster </w:t>
      </w:r>
      <w:r w:rsidR="00941467">
        <w:t>said that as part of the process she 'satisfied [herself] that what's in the affidavit was reflected and backed up in the email correspondence'</w:t>
      </w:r>
      <w:r w:rsidR="00265D3B">
        <w:t xml:space="preserve">.  </w:t>
      </w:r>
      <w:r w:rsidR="00C82C0A">
        <w:t xml:space="preserve">This could </w:t>
      </w:r>
      <w:r w:rsidR="009215E5">
        <w:t xml:space="preserve">on the one hand </w:t>
      </w:r>
      <w:r w:rsidR="00C82C0A">
        <w:t xml:space="preserve">be </w:t>
      </w:r>
      <w:r w:rsidR="00A36E00">
        <w:t>understood</w:t>
      </w:r>
      <w:r w:rsidR="00C82C0A">
        <w:t xml:space="preserve"> as</w:t>
      </w:r>
      <w:r w:rsidR="00941467">
        <w:t xml:space="preserve"> </w:t>
      </w:r>
      <w:r w:rsidR="00232F19">
        <w:t>Ms </w:t>
      </w:r>
      <w:r w:rsidR="008A77FB">
        <w:t>Lancaster</w:t>
      </w:r>
      <w:r w:rsidR="00A36E00">
        <w:t xml:space="preserve"> </w:t>
      </w:r>
      <w:r w:rsidR="00941467">
        <w:t xml:space="preserve">seeking to strengthen her affidavit evidence </w:t>
      </w:r>
      <w:r w:rsidR="00054AF8">
        <w:t>by reference to the undisclosed emails</w:t>
      </w:r>
      <w:r w:rsidR="00F30B0D">
        <w:t>, and so deploying them in a limited manner for forensic advantage</w:t>
      </w:r>
      <w:r w:rsidR="00265D3B">
        <w:t xml:space="preserve">.  </w:t>
      </w:r>
      <w:r w:rsidR="009215E5">
        <w:t>However</w:t>
      </w:r>
      <w:r w:rsidR="00634CD1">
        <w:t>,</w:t>
      </w:r>
      <w:r w:rsidR="009215E5">
        <w:t xml:space="preserve"> on the other, </w:t>
      </w:r>
      <w:r w:rsidR="00884972">
        <w:t xml:space="preserve">it can be said that </w:t>
      </w:r>
      <w:r w:rsidR="00F06530">
        <w:t>by the evidence</w:t>
      </w:r>
      <w:r w:rsidR="00A908A8">
        <w:t xml:space="preserve"> </w:t>
      </w:r>
      <w:r w:rsidR="00232F19">
        <w:t>Ms </w:t>
      </w:r>
      <w:r w:rsidR="00A908A8">
        <w:t xml:space="preserve">Lancaster is </w:t>
      </w:r>
      <w:r w:rsidR="009215E5">
        <w:t xml:space="preserve">not </w:t>
      </w:r>
      <w:r w:rsidR="009215E5" w:rsidRPr="007A3587">
        <w:t>asserting something about the contents of the communications</w:t>
      </w:r>
      <w:r w:rsidR="009215E5">
        <w:t xml:space="preserve"> as against asserting something about the process by which the affidavit was prepared.</w:t>
      </w:r>
    </w:p>
    <w:p w14:paraId="77FE9469" w14:textId="1DE420DF" w:rsidR="00316770" w:rsidRDefault="00054AF8" w:rsidP="00D378C3">
      <w:pPr>
        <w:pStyle w:val="ParaNumbering"/>
      </w:pPr>
      <w:r>
        <w:t xml:space="preserve">I am not satisfied that </w:t>
      </w:r>
      <w:r w:rsidR="008A77FB">
        <w:t xml:space="preserve">this </w:t>
      </w:r>
      <w:r w:rsidR="00ED72E9">
        <w:t>conduct</w:t>
      </w:r>
      <w:r w:rsidR="008A77FB">
        <w:t xml:space="preserve"> was sufficient </w:t>
      </w:r>
      <w:r w:rsidR="00F30B0D">
        <w:t xml:space="preserve">in the </w:t>
      </w:r>
      <w:r w:rsidR="008A77FB">
        <w:t>circumstances to lay open all of the email exchanges to scrutiny</w:t>
      </w:r>
      <w:r w:rsidR="00265D3B">
        <w:t xml:space="preserve">.  </w:t>
      </w:r>
      <w:r w:rsidR="00884972">
        <w:t xml:space="preserve">As a matter of </w:t>
      </w:r>
      <w:proofErr w:type="gramStart"/>
      <w:r w:rsidR="00884972">
        <w:t>fact</w:t>
      </w:r>
      <w:proofErr w:type="gramEnd"/>
      <w:r w:rsidR="00884972">
        <w:t xml:space="preserve"> and degree, I am not persuaded that </w:t>
      </w:r>
      <w:r w:rsidR="00232F19">
        <w:t>Ms </w:t>
      </w:r>
      <w:r w:rsidR="00884972">
        <w:t>Lancaster's evidence was inconsistent with ANIP's maintenance of any privilege in the emails</w:t>
      </w:r>
      <w:r w:rsidR="0064618F">
        <w:t xml:space="preserve"> within the meaning of s</w:t>
      </w:r>
      <w:r w:rsidR="008712BE">
        <w:t> </w:t>
      </w:r>
      <w:r w:rsidR="0064618F">
        <w:t xml:space="preserve">122(2) of the </w:t>
      </w:r>
      <w:r w:rsidR="0064618F" w:rsidRPr="0064618F">
        <w:rPr>
          <w:i/>
          <w:iCs/>
        </w:rPr>
        <w:t>Evidence Act</w:t>
      </w:r>
      <w:r w:rsidR="00884972">
        <w:t>.</w:t>
      </w:r>
    </w:p>
    <w:p w14:paraId="266E56C4" w14:textId="1E5C7D27" w:rsidR="00077920" w:rsidRDefault="00077920" w:rsidP="00DC441A">
      <w:pPr>
        <w:pStyle w:val="ParaNumbering"/>
      </w:pPr>
      <w:r>
        <w:t xml:space="preserve">It remains open to INPEX to make whatever submissions it considers are appropriate about what weight should be given to </w:t>
      </w:r>
      <w:r w:rsidR="00232F19">
        <w:t>Ms </w:t>
      </w:r>
      <w:r>
        <w:t>Lancaster's affidavit</w:t>
      </w:r>
      <w:r w:rsidR="00265D3B">
        <w:t>.</w:t>
      </w:r>
    </w:p>
    <w:p w14:paraId="66210C8C" w14:textId="6E46A2E0" w:rsidR="0026689C" w:rsidRDefault="0026689C" w:rsidP="0026689C">
      <w:pPr>
        <w:pStyle w:val="Heading2"/>
      </w:pPr>
      <w:r>
        <w:lastRenderedPageBreak/>
        <w:t>Alleged delay</w:t>
      </w:r>
    </w:p>
    <w:p w14:paraId="68892A3A" w14:textId="2940C2CA" w:rsidR="007F22B0" w:rsidRPr="00732C4F" w:rsidRDefault="00047F62" w:rsidP="005D173D">
      <w:pPr>
        <w:pStyle w:val="ParaNumbering"/>
        <w:rPr>
          <w:i/>
          <w:iCs/>
          <w:szCs w:val="24"/>
        </w:rPr>
      </w:pPr>
      <w:r>
        <w:t xml:space="preserve">As I have allowed the application in part, </w:t>
      </w:r>
      <w:r w:rsidR="0026689C">
        <w:t xml:space="preserve">I deal </w:t>
      </w:r>
      <w:r>
        <w:t>briefly</w:t>
      </w:r>
      <w:r w:rsidR="0026689C">
        <w:t xml:space="preserve"> with ANIP's contention that the application should not be granted having regard to alleged delay </w:t>
      </w:r>
      <w:r w:rsidR="00E47DA7">
        <w:t>by</w:t>
      </w:r>
      <w:r w:rsidR="0026689C">
        <w:t xml:space="preserve"> INPEX in bringing this application or disclosing </w:t>
      </w:r>
      <w:r w:rsidR="00E47DA7">
        <w:t>its purpose</w:t>
      </w:r>
      <w:r w:rsidR="00265D3B">
        <w:t xml:space="preserve">.  </w:t>
      </w:r>
      <w:r w:rsidR="0026689C">
        <w:t xml:space="preserve">Although I have taken </w:t>
      </w:r>
      <w:r w:rsidR="0082501F">
        <w:t>the submission</w:t>
      </w:r>
      <w:r w:rsidR="0026689C">
        <w:t xml:space="preserve"> into account in the overall assessment of fairness, I </w:t>
      </w:r>
      <w:r w:rsidR="00FD24D5">
        <w:t>was</w:t>
      </w:r>
      <w:r w:rsidR="0026689C">
        <w:t xml:space="preserve"> not persuaded by </w:t>
      </w:r>
      <w:r w:rsidR="0082501F">
        <w:t>it</w:t>
      </w:r>
      <w:r w:rsidR="00265D3B">
        <w:t xml:space="preserve">.  </w:t>
      </w:r>
      <w:r w:rsidR="0026689C">
        <w:t xml:space="preserve">The reason for the urgency in relation to the </w:t>
      </w:r>
      <w:r w:rsidR="00601DD5">
        <w:t>cross</w:t>
      </w:r>
      <w:r w:rsidR="00732C4F">
        <w:noBreakHyphen/>
      </w:r>
      <w:r w:rsidR="00601DD5">
        <w:t>examination hearing</w:t>
      </w:r>
      <w:r w:rsidR="0026689C">
        <w:t xml:space="preserve"> arose as a result of late production</w:t>
      </w:r>
      <w:r w:rsidR="00601DD5">
        <w:t xml:space="preserve"> of documents</w:t>
      </w:r>
      <w:r w:rsidR="0026689C">
        <w:t xml:space="preserve"> by ANIP</w:t>
      </w:r>
      <w:r w:rsidR="00265D3B">
        <w:t xml:space="preserve">.  </w:t>
      </w:r>
      <w:r w:rsidR="00052643">
        <w:t>B</w:t>
      </w:r>
      <w:r w:rsidR="00580E89">
        <w:t>y</w:t>
      </w:r>
      <w:r w:rsidR="00052643">
        <w:t xml:space="preserve"> that time</w:t>
      </w:r>
      <w:r w:rsidR="0082501F">
        <w:t>,</w:t>
      </w:r>
      <w:r w:rsidR="00052643">
        <w:t xml:space="preserve"> the Court was constrained as to t</w:t>
      </w:r>
      <w:r w:rsidR="0026689C">
        <w:t xml:space="preserve">he options </w:t>
      </w:r>
      <w:r w:rsidR="00052643">
        <w:t>that might</w:t>
      </w:r>
      <w:r w:rsidR="0026689C">
        <w:t xml:space="preserve"> best facilitate a fair trial without adjournment</w:t>
      </w:r>
      <w:r w:rsidR="001B3548">
        <w:t xml:space="preserve">:  </w:t>
      </w:r>
      <w:r w:rsidR="0082501F" w:rsidRPr="0082501F">
        <w:rPr>
          <w:i/>
          <w:iCs/>
        </w:rPr>
        <w:t>I</w:t>
      </w:r>
      <w:r w:rsidR="008712BE">
        <w:rPr>
          <w:i/>
          <w:iCs/>
        </w:rPr>
        <w:t>NPEX</w:t>
      </w:r>
      <w:r w:rsidR="0082501F" w:rsidRPr="0082501F">
        <w:rPr>
          <w:i/>
          <w:iCs/>
        </w:rPr>
        <w:t xml:space="preserve"> (No 3)</w:t>
      </w:r>
      <w:r w:rsidR="0082501F">
        <w:t xml:space="preserve"> at </w:t>
      </w:r>
      <w:r w:rsidR="0026689C">
        <w:t>[92]</w:t>
      </w:r>
      <w:r w:rsidR="00AE60D9">
        <w:t>-[93]</w:t>
      </w:r>
      <w:r w:rsidR="00265D3B">
        <w:t xml:space="preserve">.  </w:t>
      </w:r>
      <w:r w:rsidR="0026689C">
        <w:t>The Court facilitated the cross-examination hearing on short notice</w:t>
      </w:r>
      <w:r w:rsidR="00265D3B">
        <w:t xml:space="preserve">.  </w:t>
      </w:r>
      <w:r w:rsidR="008B6C1B">
        <w:t>INPEX's</w:t>
      </w:r>
      <w:r w:rsidR="0026689C">
        <w:t xml:space="preserve"> application for production </w:t>
      </w:r>
      <w:r w:rsidR="00B12BC1">
        <w:t>was made on 20 December 2024</w:t>
      </w:r>
      <w:r w:rsidR="00265D3B">
        <w:t xml:space="preserve">.  </w:t>
      </w:r>
      <w:r w:rsidR="00B12BC1">
        <w:t xml:space="preserve">It </w:t>
      </w:r>
      <w:r w:rsidR="0026689C">
        <w:t>was made after the parties were unable to resolve the issue</w:t>
      </w:r>
      <w:r w:rsidR="007C282B">
        <w:t>s</w:t>
      </w:r>
      <w:r w:rsidR="0026689C">
        <w:t xml:space="preserve"> by </w:t>
      </w:r>
      <w:r w:rsidR="00B12BC1">
        <w:t xml:space="preserve">exchange of correspondence </w:t>
      </w:r>
      <w:r w:rsidR="00DE134D">
        <w:t xml:space="preserve">which proceeded </w:t>
      </w:r>
      <w:r w:rsidR="00B12BC1">
        <w:t>during December 2024</w:t>
      </w:r>
      <w:r w:rsidR="00265D3B">
        <w:t xml:space="preserve">.  </w:t>
      </w:r>
      <w:r w:rsidR="00FF00E1">
        <w:t xml:space="preserve">ANIP is well aware of the </w:t>
      </w:r>
      <w:r w:rsidR="000C6AEE">
        <w:t>nature of the submission</w:t>
      </w:r>
      <w:r w:rsidR="00575C31">
        <w:t>s</w:t>
      </w:r>
      <w:r w:rsidR="000C6AEE">
        <w:t xml:space="preserve"> that </w:t>
      </w:r>
      <w:r w:rsidR="00220357">
        <w:t>m</w:t>
      </w:r>
      <w:r w:rsidR="000C6AEE">
        <w:t>ight be made about the discovery process generally, informed by the</w:t>
      </w:r>
      <w:r w:rsidR="00870BCA">
        <w:t xml:space="preserve"> reasons in </w:t>
      </w:r>
      <w:r w:rsidR="00870BCA" w:rsidRPr="00870BCA">
        <w:rPr>
          <w:i/>
          <w:iCs/>
        </w:rPr>
        <w:t>INPEX (No 3)</w:t>
      </w:r>
      <w:r w:rsidR="00870BCA">
        <w:t xml:space="preserve"> and the </w:t>
      </w:r>
      <w:r w:rsidR="000C6AEE">
        <w:t>cross-examination hearing</w:t>
      </w:r>
      <w:r w:rsidR="00265D3B">
        <w:t xml:space="preserve">.  </w:t>
      </w:r>
      <w:r w:rsidR="0026689C">
        <w:t>The parties have proceeded on the basis that they intend to make further submissions about a number of trial matters, including discovery, during the further five-day trial period set aside in May 2025</w:t>
      </w:r>
      <w:r w:rsidR="00265D3B">
        <w:t xml:space="preserve">.  </w:t>
      </w:r>
      <w:r w:rsidR="0026689C">
        <w:t xml:space="preserve">In those circumstances, the application </w:t>
      </w:r>
      <w:r w:rsidR="00F64ACE">
        <w:t>has not</w:t>
      </w:r>
      <w:r w:rsidR="003E110E">
        <w:t xml:space="preserve"> </w:t>
      </w:r>
      <w:r w:rsidR="0026689C">
        <w:t>operate</w:t>
      </w:r>
      <w:r w:rsidR="00F64ACE">
        <w:t>d</w:t>
      </w:r>
      <w:r w:rsidR="0026689C">
        <w:t xml:space="preserve"> in a manner that is unfair to ANIP in the context of the trial as a whole.</w:t>
      </w:r>
    </w:p>
    <w:p w14:paraId="6F4C96D3" w14:textId="5DA691D1" w:rsidR="00732C4F" w:rsidRPr="00732C4F" w:rsidRDefault="00865448" w:rsidP="00B64D9A">
      <w:pPr>
        <w:pStyle w:val="Heading2"/>
      </w:pPr>
      <w:r>
        <w:t>Access to documents</w:t>
      </w:r>
    </w:p>
    <w:p w14:paraId="26C06A01" w14:textId="343472CC" w:rsidR="00BB1157" w:rsidRDefault="007C3848" w:rsidP="007C3848">
      <w:pPr>
        <w:pStyle w:val="ParaNumbering"/>
      </w:pPr>
      <w:r>
        <w:t>ANIP suggested that the Court inspect the docu</w:t>
      </w:r>
      <w:r w:rsidR="003C7876">
        <w:t>ments</w:t>
      </w:r>
      <w:r>
        <w:t xml:space="preserve"> in order to assist with the application</w:t>
      </w:r>
      <w:r w:rsidR="00265D3B">
        <w:t xml:space="preserve">.  </w:t>
      </w:r>
      <w:r>
        <w:t>I</w:t>
      </w:r>
      <w:r w:rsidR="008712BE">
        <w:t> </w:t>
      </w:r>
      <w:r>
        <w:t xml:space="preserve">assume </w:t>
      </w:r>
      <w:r w:rsidR="003C7876">
        <w:t>it</w:t>
      </w:r>
      <w:r>
        <w:t xml:space="preserve"> was intended that another judge of the Court undertake th</w:t>
      </w:r>
      <w:r w:rsidR="003C7876">
        <w:t>e inspection</w:t>
      </w:r>
      <w:r w:rsidR="00F25581">
        <w:t>, in light of the privilege claim</w:t>
      </w:r>
      <w:r w:rsidR="00265D3B">
        <w:t xml:space="preserve">.  </w:t>
      </w:r>
      <w:r w:rsidR="003C7876">
        <w:t xml:space="preserve">Although there are occasions when such a course is useful, </w:t>
      </w:r>
      <w:r w:rsidR="00220550">
        <w:t xml:space="preserve">and it has been undertaken in the context </w:t>
      </w:r>
      <w:r w:rsidR="00535305">
        <w:t>o</w:t>
      </w:r>
      <w:r w:rsidR="00220550">
        <w:t>f waiver (</w:t>
      </w:r>
      <w:proofErr w:type="spellStart"/>
      <w:r w:rsidR="00535305" w:rsidRPr="007C282B">
        <w:rPr>
          <w:b/>
          <w:bCs/>
          <w:i/>
          <w:iCs/>
        </w:rPr>
        <w:t>TerraCom</w:t>
      </w:r>
      <w:proofErr w:type="spellEnd"/>
      <w:r w:rsidR="00535305" w:rsidRPr="00535305">
        <w:rPr>
          <w:i/>
          <w:iCs/>
        </w:rPr>
        <w:t xml:space="preserve"> Ltd v Australian Securities and Investments Commission</w:t>
      </w:r>
      <w:r w:rsidR="00535305">
        <w:t xml:space="preserve"> [2022] FCA 208</w:t>
      </w:r>
      <w:r w:rsidR="00EA59FE">
        <w:t xml:space="preserve"> at [78]</w:t>
      </w:r>
      <w:r w:rsidR="00307F65">
        <w:t xml:space="preserve"> </w:t>
      </w:r>
      <w:r w:rsidR="00196CC9">
        <w:t>(Stewart J))</w:t>
      </w:r>
      <w:r w:rsidR="00477C19">
        <w:t>,</w:t>
      </w:r>
      <w:r w:rsidR="00535305">
        <w:t xml:space="preserve"> </w:t>
      </w:r>
      <w:r w:rsidR="003C7876">
        <w:t>I did not consider it was required in this case</w:t>
      </w:r>
      <w:r w:rsidR="00EA59FE">
        <w:t>.</w:t>
      </w:r>
      <w:r w:rsidR="00E818A2">
        <w:t xml:space="preserve"> </w:t>
      </w:r>
      <w:r w:rsidR="00EA59FE">
        <w:t xml:space="preserve">I have been </w:t>
      </w:r>
      <w:r w:rsidR="00206C88">
        <w:t>able</w:t>
      </w:r>
      <w:r w:rsidR="00EA59FE">
        <w:t xml:space="preserve"> to </w:t>
      </w:r>
      <w:r w:rsidR="00206C88">
        <w:t xml:space="preserve">determine the question of waiver without </w:t>
      </w:r>
      <w:r w:rsidR="00F04B47">
        <w:t xml:space="preserve">the Court </w:t>
      </w:r>
      <w:r w:rsidR="00206C88">
        <w:t xml:space="preserve">examining the various documents.  The </w:t>
      </w:r>
      <w:r w:rsidR="00881A74">
        <w:t>difficulties</w:t>
      </w:r>
      <w:r w:rsidR="00307F65">
        <w:t xml:space="preserve"> to which </w:t>
      </w:r>
      <w:r w:rsidR="00196CC9">
        <w:t xml:space="preserve">Stewart J referred in </w:t>
      </w:r>
      <w:proofErr w:type="spellStart"/>
      <w:r w:rsidR="00196CC9" w:rsidRPr="00196CC9">
        <w:rPr>
          <w:i/>
          <w:iCs/>
        </w:rPr>
        <w:t>TerraCom</w:t>
      </w:r>
      <w:proofErr w:type="spellEnd"/>
      <w:r w:rsidR="00196CC9">
        <w:t xml:space="preserve"> in relation to partial disclosure have not arisen in this case.</w:t>
      </w:r>
    </w:p>
    <w:p w14:paraId="2EE55132" w14:textId="30ED18D3" w:rsidR="003C7876" w:rsidRDefault="00F25581" w:rsidP="00F25581">
      <w:pPr>
        <w:pStyle w:val="Heading2"/>
      </w:pPr>
      <w:r>
        <w:t>Orders</w:t>
      </w:r>
    </w:p>
    <w:p w14:paraId="41524972" w14:textId="45E5590D" w:rsidR="008712BE" w:rsidRDefault="001156C6" w:rsidP="008712BE">
      <w:pPr>
        <w:pStyle w:val="ParaNumbering"/>
      </w:pPr>
      <w:r>
        <w:t>There will be orders accordingly.</w:t>
      </w:r>
    </w:p>
    <w:p w14:paraId="7DFDF2C2" w14:textId="77777777" w:rsidR="00362134" w:rsidRDefault="00362134" w:rsidP="00815065">
      <w:pPr>
        <w:pStyle w:val="BodyText"/>
      </w:pPr>
      <w:bookmarkStart w:id="24" w:name="Certification"/>
    </w:p>
    <w:tbl>
      <w:tblPr>
        <w:tblW w:w="0" w:type="auto"/>
        <w:tblLook w:val="04A0" w:firstRow="1" w:lastRow="0" w:firstColumn="1" w:lastColumn="0" w:noHBand="0" w:noVBand="1"/>
      </w:tblPr>
      <w:tblGrid>
        <w:gridCol w:w="3794"/>
      </w:tblGrid>
      <w:tr w:rsidR="00362134" w:rsidRPr="00362134" w14:paraId="2C25E809" w14:textId="77777777">
        <w:tc>
          <w:tcPr>
            <w:tcW w:w="3794" w:type="dxa"/>
            <w:shd w:val="clear" w:color="auto" w:fill="auto"/>
          </w:tcPr>
          <w:p w14:paraId="1256EF45" w14:textId="47E4C918" w:rsidR="00362134" w:rsidRPr="00362134" w:rsidRDefault="00362134" w:rsidP="00362134">
            <w:pPr>
              <w:pStyle w:val="Normal1linespace"/>
            </w:pPr>
            <w:r w:rsidRPr="00362134">
              <w:t xml:space="preserve">I certify that the preceding </w:t>
            </w:r>
            <w:bookmarkStart w:id="25" w:name="NumberWord"/>
            <w:r>
              <w:t>eighty-eight</w:t>
            </w:r>
            <w:bookmarkEnd w:id="25"/>
            <w:r w:rsidRPr="00362134">
              <w:t xml:space="preserve"> (</w:t>
            </w:r>
            <w:bookmarkStart w:id="26" w:name="NumberNumeral"/>
            <w:r>
              <w:t>88</w:t>
            </w:r>
            <w:bookmarkEnd w:id="26"/>
            <w:r w:rsidRPr="00362134">
              <w:t xml:space="preserve">) numbered </w:t>
            </w:r>
            <w:bookmarkStart w:id="27" w:name="CertPara"/>
            <w:r>
              <w:t>paragraphs are</w:t>
            </w:r>
            <w:bookmarkEnd w:id="27"/>
            <w:r w:rsidRPr="00362134">
              <w:t xml:space="preserve"> a true copy of the Reasons for Judgment of </w:t>
            </w:r>
            <w:bookmarkStart w:id="28" w:name="bkHonourable"/>
            <w:r w:rsidRPr="00362134">
              <w:t xml:space="preserve">the Honourable </w:t>
            </w:r>
            <w:bookmarkStart w:id="29" w:name="Justice"/>
            <w:bookmarkEnd w:id="28"/>
            <w:r>
              <w:t>Justice Banks-Smith</w:t>
            </w:r>
            <w:bookmarkEnd w:id="29"/>
            <w:r w:rsidRPr="00362134">
              <w:t>.</w:t>
            </w:r>
          </w:p>
        </w:tc>
      </w:tr>
    </w:tbl>
    <w:p w14:paraId="334C03B4" w14:textId="0BD9255F" w:rsidR="00362134" w:rsidRDefault="00362134" w:rsidP="00815065">
      <w:pPr>
        <w:pStyle w:val="BodyText"/>
      </w:pPr>
    </w:p>
    <w:p w14:paraId="0636E1D7" w14:textId="77777777" w:rsidR="00362134" w:rsidRDefault="00362134" w:rsidP="00815065">
      <w:pPr>
        <w:pStyle w:val="BodyText"/>
      </w:pPr>
      <w:r>
        <w:t>Associate:</w:t>
      </w:r>
    </w:p>
    <w:p w14:paraId="0282B998" w14:textId="77777777" w:rsidR="00362134" w:rsidRDefault="00362134" w:rsidP="00815065">
      <w:pPr>
        <w:pStyle w:val="BodyText"/>
      </w:pPr>
    </w:p>
    <w:p w14:paraId="311BE82A" w14:textId="39A5F44B" w:rsidR="008712BE" w:rsidRPr="008712BE" w:rsidRDefault="00362134" w:rsidP="00362134">
      <w:pPr>
        <w:pStyle w:val="BodyText"/>
        <w:tabs>
          <w:tab w:val="left" w:pos="1134"/>
        </w:tabs>
      </w:pPr>
      <w:r>
        <w:t>Dated:</w:t>
      </w:r>
      <w:r>
        <w:tab/>
      </w:r>
      <w:bookmarkStart w:id="30" w:name="CertifyDated"/>
      <w:r>
        <w:t>7 April 2025</w:t>
      </w:r>
      <w:bookmarkEnd w:id="24"/>
      <w:bookmarkEnd w:id="30"/>
    </w:p>
    <w:sectPr w:rsidR="008712BE" w:rsidRPr="008712BE" w:rsidSect="00E77422">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140BE" w14:textId="77777777" w:rsidR="00F15669" w:rsidRDefault="00F15669">
      <w:pPr>
        <w:spacing w:line="20" w:lineRule="exact"/>
      </w:pPr>
    </w:p>
    <w:p w14:paraId="360D5E90" w14:textId="77777777" w:rsidR="00F15669" w:rsidRDefault="00F15669"/>
    <w:p w14:paraId="39F1943A" w14:textId="77777777" w:rsidR="00F15669" w:rsidRDefault="00F15669"/>
  </w:endnote>
  <w:endnote w:type="continuationSeparator" w:id="0">
    <w:p w14:paraId="69421462" w14:textId="77777777" w:rsidR="00F15669" w:rsidRDefault="00F15669">
      <w:r>
        <w:t xml:space="preserve"> </w:t>
      </w:r>
    </w:p>
    <w:p w14:paraId="2714E891" w14:textId="77777777" w:rsidR="00F15669" w:rsidRDefault="00F15669"/>
    <w:p w14:paraId="682ACAE8" w14:textId="77777777" w:rsidR="00F15669" w:rsidRDefault="00F15669"/>
  </w:endnote>
  <w:endnote w:type="continuationNotice" w:id="1">
    <w:p w14:paraId="2421F036" w14:textId="77777777" w:rsidR="00F15669" w:rsidRDefault="00F15669">
      <w:r>
        <w:t xml:space="preserve"> </w:t>
      </w:r>
    </w:p>
    <w:p w14:paraId="45090A87" w14:textId="77777777" w:rsidR="00F15669" w:rsidRDefault="00F15669"/>
    <w:p w14:paraId="06E5BEC1" w14:textId="77777777" w:rsidR="00F15669" w:rsidRDefault="00F15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7152" w14:textId="32F6B1B8"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53394097" wp14:editId="566FCB54">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2FEFE" id="Straight Connector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879F7">
          <w:rPr>
            <w:bCs/>
            <w:sz w:val="18"/>
            <w:szCs w:val="18"/>
          </w:rPr>
          <w:t>INPEX Operations Australia Pty Ltd v AkzoNobel NV (No 4) [2025] FCA 320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98F0" w14:textId="5E391F4C"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19D833A1" wp14:editId="1641605D">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84C5F"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2CD844AB6FAB423D96729CA9A06CAF37"/>
        </w:placeholder>
        <w:dataBinding w:prefixMappings="xmlns:ns0='http://schemas.globalmacros.com/FCA'" w:xpath="/ns0:root[1]/ns0:Name[1]" w:storeItemID="{687E7CCB-4AA5-44E7-B148-17BA2B6F57C0}"/>
        <w:text w:multiLine="1"/>
      </w:sdtPr>
      <w:sdtEndPr/>
      <w:sdtContent>
        <w:r w:rsidR="004879F7">
          <w:rPr>
            <w:bCs/>
            <w:sz w:val="18"/>
            <w:szCs w:val="18"/>
          </w:rPr>
          <w:t>INPEX Operations Australia Pty Ltd v AkzoNobel NV (No 4) [2025] FCA 320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3B818" w14:textId="6BDCC9C1"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651A7E17" wp14:editId="44641BE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085B4"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AB32CF524CAE4D89B643C1492675D7F0"/>
        </w:placeholder>
        <w:dataBinding w:prefixMappings="xmlns:ns0='http://schemas.globalmacros.com/FCA'" w:xpath="/ns0:root[1]/ns0:Name[1]" w:storeItemID="{687E7CCB-4AA5-44E7-B148-17BA2B6F57C0}"/>
        <w:text w:multiLine="1"/>
      </w:sdtPr>
      <w:sdtEndPr/>
      <w:sdtContent>
        <w:r w:rsidR="004879F7">
          <w:rPr>
            <w:bCs/>
            <w:sz w:val="18"/>
            <w:szCs w:val="18"/>
          </w:rPr>
          <w:t>INPEX Operations Australia Pty Ltd v AkzoNobel NV (No 4) [2025] FCA 320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96CE" w14:textId="6B6B8A0B"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4F908906" wp14:editId="76E585EA">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107D87"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4879F7">
          <w:rPr>
            <w:bCs/>
            <w:sz w:val="18"/>
            <w:szCs w:val="18"/>
          </w:rPr>
          <w:t>INPEX Operations Australia Pty Ltd v AkzoNobel NV (No 4) [2025] FCA 320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93AE" w14:textId="7224CE5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5E4F60EF" wp14:editId="2646A5A4">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B087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4879F7">
          <w:rPr>
            <w:bCs/>
            <w:sz w:val="18"/>
            <w:szCs w:val="18"/>
          </w:rPr>
          <w:t>INPEX Operations Australia Pty Ltd v AkzoNobel NV (No 4) [2025] FCA 320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EA866" w14:textId="77777777" w:rsidR="00F15669" w:rsidRDefault="00F15669"/>
  </w:footnote>
  <w:footnote w:type="continuationSeparator" w:id="0">
    <w:p w14:paraId="725C6C1A" w14:textId="77777777" w:rsidR="00F15669" w:rsidRDefault="00F15669">
      <w:r>
        <w:continuationSeparator/>
      </w:r>
    </w:p>
    <w:p w14:paraId="5EAC21CC" w14:textId="77777777" w:rsidR="00F15669" w:rsidRDefault="00F15669"/>
    <w:p w14:paraId="0C996ECC" w14:textId="77777777" w:rsidR="00F15669" w:rsidRDefault="00F15669"/>
  </w:footnote>
  <w:footnote w:type="continuationNotice" w:id="1">
    <w:p w14:paraId="22849E24" w14:textId="77777777" w:rsidR="00F15669" w:rsidRDefault="00F156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9FE0"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60F7"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52F1"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B00B"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304D"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65588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3A08AD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AE3DD1"/>
    <w:multiLevelType w:val="singleLevel"/>
    <w:tmpl w:val="D6A2A13E"/>
    <w:lvl w:ilvl="0">
      <w:start w:val="1"/>
      <w:numFmt w:val="decimal"/>
      <w:lvlRestart w:val="0"/>
      <w:pStyle w:val="ParaNumbering"/>
      <w:lvlText w:val="%1"/>
      <w:lvlJc w:val="left"/>
      <w:pPr>
        <w:tabs>
          <w:tab w:val="num" w:pos="720"/>
        </w:tabs>
        <w:ind w:left="0" w:hanging="720"/>
      </w:pPr>
      <w:rPr>
        <w:rFonts w:hint="default"/>
        <w:i w:val="0"/>
        <w:iCs w:val="0"/>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6"/>
  </w:num>
  <w:num w:numId="2" w16cid:durableId="1916935382">
    <w:abstractNumId w:val="10"/>
  </w:num>
  <w:num w:numId="3" w16cid:durableId="2036536598">
    <w:abstractNumId w:val="8"/>
  </w:num>
  <w:num w:numId="4" w16cid:durableId="1380781412">
    <w:abstractNumId w:val="7"/>
  </w:num>
  <w:num w:numId="5" w16cid:durableId="1048186967">
    <w:abstractNumId w:val="6"/>
  </w:num>
  <w:num w:numId="6" w16cid:durableId="1891991157">
    <w:abstractNumId w:val="5"/>
  </w:num>
  <w:num w:numId="7" w16cid:durableId="465046151">
    <w:abstractNumId w:val="9"/>
  </w:num>
  <w:num w:numId="8" w16cid:durableId="2031448497">
    <w:abstractNumId w:val="4"/>
  </w:num>
  <w:num w:numId="9" w16cid:durableId="1998998953">
    <w:abstractNumId w:val="3"/>
  </w:num>
  <w:num w:numId="10" w16cid:durableId="176891129">
    <w:abstractNumId w:val="2"/>
  </w:num>
  <w:num w:numId="11" w16cid:durableId="506746220">
    <w:abstractNumId w:val="1"/>
  </w:num>
  <w:num w:numId="12" w16cid:durableId="45955029">
    <w:abstractNumId w:val="24"/>
  </w:num>
  <w:num w:numId="13" w16cid:durableId="252708425">
    <w:abstractNumId w:val="22"/>
  </w:num>
  <w:num w:numId="14" w16cid:durableId="2100633326">
    <w:abstractNumId w:val="23"/>
  </w:num>
  <w:num w:numId="15" w16cid:durableId="1773933925">
    <w:abstractNumId w:val="26"/>
  </w:num>
  <w:num w:numId="16" w16cid:durableId="527645899">
    <w:abstractNumId w:val="14"/>
  </w:num>
  <w:num w:numId="17" w16cid:durableId="120267876">
    <w:abstractNumId w:val="25"/>
  </w:num>
  <w:num w:numId="18" w16cid:durableId="1374574243">
    <w:abstractNumId w:val="12"/>
  </w:num>
  <w:num w:numId="19" w16cid:durableId="657348185">
    <w:abstractNumId w:val="20"/>
  </w:num>
  <w:num w:numId="20" w16cid:durableId="1955017147">
    <w:abstractNumId w:val="17"/>
  </w:num>
  <w:num w:numId="21" w16cid:durableId="615910588">
    <w:abstractNumId w:val="18"/>
  </w:num>
  <w:num w:numId="22" w16cid:durableId="2031373324">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num>
  <w:num w:numId="23" w16cid:durableId="348877071">
    <w:abstractNumId w:val="11"/>
  </w:num>
  <w:num w:numId="24" w16cid:durableId="1818379752">
    <w:abstractNumId w:val="11"/>
  </w:num>
  <w:num w:numId="25" w16cid:durableId="975523684">
    <w:abstractNumId w:val="13"/>
  </w:num>
  <w:num w:numId="26" w16cid:durableId="1805997716">
    <w:abstractNumId w:val="19"/>
  </w:num>
  <w:num w:numId="27" w16cid:durableId="1787187973">
    <w:abstractNumId w:val="19"/>
  </w:num>
  <w:num w:numId="28" w16cid:durableId="2119329858">
    <w:abstractNumId w:val="19"/>
  </w:num>
  <w:num w:numId="29" w16cid:durableId="1300569417">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170821739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4903116">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1397720">
    <w:abstractNumId w:val="15"/>
  </w:num>
  <w:num w:numId="33" w16cid:durableId="11175560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INPEX OPERATIONS AUSTRALIA PTY LTD|ICHTHYS LNG PTY LTD"/>
    <w:docVar w:name="CounselParties" w:val="Applicant"/>
    <w:docVar w:name="CounselType" w:val="Counsel for the "/>
    <w:docVar w:name="Court" w:val="Federal Court of Australia (FCA)"/>
    <w:docVar w:name="Cross1AndAnother" w:val="False"/>
    <w:docVar w:name="Cross1AndOthers" w:val="True"/>
    <w:docVar w:name="Cross2AndAnother" w:val="False"/>
    <w:docVar w:name="Cross2AndOthers" w:val="True"/>
    <w:docVar w:name="Cross-Claimant" w:val="AKZONOBEL NV|INTERNATIONAL PAINT LIMITED|AKZO NOBEL PTY LIMITED"/>
    <w:docVar w:name="Cross-Respondent" w:val="INPEX OPERATIONS AUSTRALIA PTY LTD|ICHTHYS LNG PTY LTD|JKC AUSTRALIA LNG PTY LTD"/>
    <w:docVar w:name="Defenders" w:val="(and others named in the Schedule)"/>
    <w:docVar w:name="Division" w:val="FCA General Division"/>
    <w:docVar w:name="DocCreated" w:val="True"/>
    <w:docVar w:name="FileNumbers" w:val="WAD 162 of 2021_x000d_WAD 448 of 2017"/>
    <w:docVar w:name="Initiators" w:val="(and others named in the Schedule)"/>
    <w:docVar w:name="Judgdate" w:val="7 April 2025"/>
    <w:docVar w:name="Judge" w:val="Banks-Smith"/>
    <w:docVar w:name="JudgeType" w:val="Justice"/>
    <w:docVar w:name="lstEntryList" w:val="-1"/>
    <w:docVar w:name="NSD" w:val="NSD "/>
    <w:docVar w:name="NumApps" w:val="2"/>
    <w:docVar w:name="NumApps_" w:val="2"/>
    <w:docVar w:name="NumCrossResps" w:val="3"/>
    <w:docVar w:name="NumDefs" w:val="3"/>
    <w:docVar w:name="NumOthers" w:val="3"/>
    <w:docVar w:name="OtherNum" w:val="0"/>
    <w:docVar w:name="Parties1" w:val="Applicant"/>
    <w:docVar w:name="Parties2" w:val="Respondent"/>
    <w:docVar w:name="Parties3" w:val="Cross-Claimant"/>
    <w:docVar w:name="Parties4" w:val="Cross-Respondent"/>
    <w:docVar w:name="Parties5" w:val="Intervener"/>
    <w:docVar w:name="Place" w:val="N/A FCA"/>
    <w:docVar w:name="PracticeArea" w:val="Commercial and Corporations"/>
    <w:docVar w:name="RESAndAnother" w:val="True"/>
    <w:docVar w:name="RESAndOthers" w:val="False"/>
    <w:docVar w:name="Respondent" w:val="AKZONOBEL NV|INTERNATIONAL PAINT LIMITED|AKZO NOBEL PTY LIMITED"/>
    <w:docVar w:name="ResState" w:val="Western Australia"/>
    <w:docVar w:name="SubArea" w:val="Regulator and Consumer Protection (C &amp; C)"/>
    <w:docVar w:name="Template" w:val="Judgment"/>
  </w:docVars>
  <w:rsids>
    <w:rsidRoot w:val="00BE3EBC"/>
    <w:rsid w:val="00000747"/>
    <w:rsid w:val="000014C6"/>
    <w:rsid w:val="00001A1D"/>
    <w:rsid w:val="00002AD6"/>
    <w:rsid w:val="0000345A"/>
    <w:rsid w:val="00003D08"/>
    <w:rsid w:val="000048CC"/>
    <w:rsid w:val="0000510B"/>
    <w:rsid w:val="00006893"/>
    <w:rsid w:val="00007FF3"/>
    <w:rsid w:val="000115C5"/>
    <w:rsid w:val="0001190E"/>
    <w:rsid w:val="000144E3"/>
    <w:rsid w:val="0001469E"/>
    <w:rsid w:val="000151EA"/>
    <w:rsid w:val="00015993"/>
    <w:rsid w:val="00016D52"/>
    <w:rsid w:val="00021CCB"/>
    <w:rsid w:val="00022289"/>
    <w:rsid w:val="00022951"/>
    <w:rsid w:val="00023229"/>
    <w:rsid w:val="000237E9"/>
    <w:rsid w:val="00023C3E"/>
    <w:rsid w:val="0002487D"/>
    <w:rsid w:val="00026DDA"/>
    <w:rsid w:val="00027398"/>
    <w:rsid w:val="00027510"/>
    <w:rsid w:val="0003060F"/>
    <w:rsid w:val="00030C74"/>
    <w:rsid w:val="00031E0C"/>
    <w:rsid w:val="0003201A"/>
    <w:rsid w:val="0003207A"/>
    <w:rsid w:val="00032F9F"/>
    <w:rsid w:val="000350B7"/>
    <w:rsid w:val="0003604E"/>
    <w:rsid w:val="00037920"/>
    <w:rsid w:val="00041C07"/>
    <w:rsid w:val="00042E5C"/>
    <w:rsid w:val="00043704"/>
    <w:rsid w:val="00045BB7"/>
    <w:rsid w:val="00046FF6"/>
    <w:rsid w:val="00047F62"/>
    <w:rsid w:val="00051BBA"/>
    <w:rsid w:val="00052643"/>
    <w:rsid w:val="0005343A"/>
    <w:rsid w:val="00054AF8"/>
    <w:rsid w:val="000553EB"/>
    <w:rsid w:val="00055719"/>
    <w:rsid w:val="0005641B"/>
    <w:rsid w:val="000574D4"/>
    <w:rsid w:val="00057676"/>
    <w:rsid w:val="00060F1F"/>
    <w:rsid w:val="0006196A"/>
    <w:rsid w:val="00061BAB"/>
    <w:rsid w:val="00062C2B"/>
    <w:rsid w:val="00063143"/>
    <w:rsid w:val="000639EF"/>
    <w:rsid w:val="000650F0"/>
    <w:rsid w:val="00067701"/>
    <w:rsid w:val="00067B93"/>
    <w:rsid w:val="00071FB3"/>
    <w:rsid w:val="0007491A"/>
    <w:rsid w:val="00075B6F"/>
    <w:rsid w:val="00077768"/>
    <w:rsid w:val="00077920"/>
    <w:rsid w:val="000800A8"/>
    <w:rsid w:val="0008085F"/>
    <w:rsid w:val="00081497"/>
    <w:rsid w:val="000831EC"/>
    <w:rsid w:val="00084126"/>
    <w:rsid w:val="00085255"/>
    <w:rsid w:val="00085C6A"/>
    <w:rsid w:val="00086726"/>
    <w:rsid w:val="0008773D"/>
    <w:rsid w:val="00087C86"/>
    <w:rsid w:val="00091CCC"/>
    <w:rsid w:val="00093C29"/>
    <w:rsid w:val="00094A01"/>
    <w:rsid w:val="0009533E"/>
    <w:rsid w:val="0009576E"/>
    <w:rsid w:val="00095F6F"/>
    <w:rsid w:val="00096A8D"/>
    <w:rsid w:val="000979E5"/>
    <w:rsid w:val="000A2E76"/>
    <w:rsid w:val="000A3332"/>
    <w:rsid w:val="000A3BC5"/>
    <w:rsid w:val="000A4807"/>
    <w:rsid w:val="000A48E9"/>
    <w:rsid w:val="000A4BE4"/>
    <w:rsid w:val="000A4F7F"/>
    <w:rsid w:val="000A53CD"/>
    <w:rsid w:val="000A5441"/>
    <w:rsid w:val="000A5EEC"/>
    <w:rsid w:val="000A5F7A"/>
    <w:rsid w:val="000A79BC"/>
    <w:rsid w:val="000B0253"/>
    <w:rsid w:val="000B02D9"/>
    <w:rsid w:val="000B21E1"/>
    <w:rsid w:val="000B37C1"/>
    <w:rsid w:val="000B3C99"/>
    <w:rsid w:val="000B5388"/>
    <w:rsid w:val="000B6125"/>
    <w:rsid w:val="000C023E"/>
    <w:rsid w:val="000C1428"/>
    <w:rsid w:val="000C16C6"/>
    <w:rsid w:val="000C1D33"/>
    <w:rsid w:val="000C3803"/>
    <w:rsid w:val="000C405D"/>
    <w:rsid w:val="000C5195"/>
    <w:rsid w:val="000C5882"/>
    <w:rsid w:val="000C62EF"/>
    <w:rsid w:val="000C6AEE"/>
    <w:rsid w:val="000C73E5"/>
    <w:rsid w:val="000D2137"/>
    <w:rsid w:val="000D374F"/>
    <w:rsid w:val="000D3FD2"/>
    <w:rsid w:val="000D4B2E"/>
    <w:rsid w:val="000D4CA1"/>
    <w:rsid w:val="000D5321"/>
    <w:rsid w:val="000D59B4"/>
    <w:rsid w:val="000E1F6D"/>
    <w:rsid w:val="000E2A55"/>
    <w:rsid w:val="000E3FC8"/>
    <w:rsid w:val="000E3FF5"/>
    <w:rsid w:val="000E6304"/>
    <w:rsid w:val="000E7BAE"/>
    <w:rsid w:val="000F133D"/>
    <w:rsid w:val="000F2413"/>
    <w:rsid w:val="000F5FED"/>
    <w:rsid w:val="00100D5D"/>
    <w:rsid w:val="00100F6B"/>
    <w:rsid w:val="00101691"/>
    <w:rsid w:val="00102A33"/>
    <w:rsid w:val="00103BEF"/>
    <w:rsid w:val="0010536B"/>
    <w:rsid w:val="0010582E"/>
    <w:rsid w:val="00106E3C"/>
    <w:rsid w:val="00107FB8"/>
    <w:rsid w:val="0011145C"/>
    <w:rsid w:val="0011214A"/>
    <w:rsid w:val="001128BD"/>
    <w:rsid w:val="00113D98"/>
    <w:rsid w:val="0011419D"/>
    <w:rsid w:val="00114B02"/>
    <w:rsid w:val="001156C6"/>
    <w:rsid w:val="001162AA"/>
    <w:rsid w:val="00116B9B"/>
    <w:rsid w:val="00121053"/>
    <w:rsid w:val="001226C0"/>
    <w:rsid w:val="00123C0A"/>
    <w:rsid w:val="00126EC8"/>
    <w:rsid w:val="00127169"/>
    <w:rsid w:val="0012731C"/>
    <w:rsid w:val="00127802"/>
    <w:rsid w:val="00132054"/>
    <w:rsid w:val="00132E5F"/>
    <w:rsid w:val="00133A5C"/>
    <w:rsid w:val="00134749"/>
    <w:rsid w:val="00134964"/>
    <w:rsid w:val="00134D77"/>
    <w:rsid w:val="001351B9"/>
    <w:rsid w:val="00135684"/>
    <w:rsid w:val="00135BE3"/>
    <w:rsid w:val="00136CC6"/>
    <w:rsid w:val="00136F20"/>
    <w:rsid w:val="00140705"/>
    <w:rsid w:val="00141FFE"/>
    <w:rsid w:val="00142F21"/>
    <w:rsid w:val="00143774"/>
    <w:rsid w:val="00144BFA"/>
    <w:rsid w:val="0015011A"/>
    <w:rsid w:val="0015065C"/>
    <w:rsid w:val="001539DE"/>
    <w:rsid w:val="00155A72"/>
    <w:rsid w:val="00155CD2"/>
    <w:rsid w:val="00156541"/>
    <w:rsid w:val="001635BB"/>
    <w:rsid w:val="001639FC"/>
    <w:rsid w:val="001703F5"/>
    <w:rsid w:val="001727A4"/>
    <w:rsid w:val="00173490"/>
    <w:rsid w:val="0017376C"/>
    <w:rsid w:val="001738AB"/>
    <w:rsid w:val="00174F1B"/>
    <w:rsid w:val="001752CC"/>
    <w:rsid w:val="001765E0"/>
    <w:rsid w:val="00177759"/>
    <w:rsid w:val="00180BB3"/>
    <w:rsid w:val="00183B41"/>
    <w:rsid w:val="00185DD6"/>
    <w:rsid w:val="00185E6B"/>
    <w:rsid w:val="001862B8"/>
    <w:rsid w:val="001867A6"/>
    <w:rsid w:val="00187BBC"/>
    <w:rsid w:val="001932F3"/>
    <w:rsid w:val="001942B2"/>
    <w:rsid w:val="00194796"/>
    <w:rsid w:val="00194D75"/>
    <w:rsid w:val="00196CC9"/>
    <w:rsid w:val="00197A32"/>
    <w:rsid w:val="001A07FD"/>
    <w:rsid w:val="001A1A61"/>
    <w:rsid w:val="001A293C"/>
    <w:rsid w:val="001A2B40"/>
    <w:rsid w:val="001A4309"/>
    <w:rsid w:val="001A46AE"/>
    <w:rsid w:val="001A4FC2"/>
    <w:rsid w:val="001A5454"/>
    <w:rsid w:val="001A5B17"/>
    <w:rsid w:val="001A5D61"/>
    <w:rsid w:val="001A6C52"/>
    <w:rsid w:val="001B0B1C"/>
    <w:rsid w:val="001B1053"/>
    <w:rsid w:val="001B14AC"/>
    <w:rsid w:val="001B3548"/>
    <w:rsid w:val="001B5B82"/>
    <w:rsid w:val="001B5CFA"/>
    <w:rsid w:val="001B613B"/>
    <w:rsid w:val="001B7940"/>
    <w:rsid w:val="001B7D3D"/>
    <w:rsid w:val="001B7FC2"/>
    <w:rsid w:val="001C171A"/>
    <w:rsid w:val="001C2FE0"/>
    <w:rsid w:val="001C37CA"/>
    <w:rsid w:val="001C4085"/>
    <w:rsid w:val="001C4A48"/>
    <w:rsid w:val="001C6A00"/>
    <w:rsid w:val="001C77CF"/>
    <w:rsid w:val="001D055D"/>
    <w:rsid w:val="001D3B24"/>
    <w:rsid w:val="001D4303"/>
    <w:rsid w:val="001D4F13"/>
    <w:rsid w:val="001D5542"/>
    <w:rsid w:val="001D6746"/>
    <w:rsid w:val="001D6CE7"/>
    <w:rsid w:val="001E0C61"/>
    <w:rsid w:val="001E1289"/>
    <w:rsid w:val="001E3B49"/>
    <w:rsid w:val="001E4A05"/>
    <w:rsid w:val="001E58EC"/>
    <w:rsid w:val="001E6A19"/>
    <w:rsid w:val="001E6C28"/>
    <w:rsid w:val="001E7388"/>
    <w:rsid w:val="001F0660"/>
    <w:rsid w:val="001F13DD"/>
    <w:rsid w:val="001F176B"/>
    <w:rsid w:val="001F1EDB"/>
    <w:rsid w:val="001F2473"/>
    <w:rsid w:val="001F2DBC"/>
    <w:rsid w:val="001F32EE"/>
    <w:rsid w:val="001F3CCE"/>
    <w:rsid w:val="001F4946"/>
    <w:rsid w:val="001F6AE7"/>
    <w:rsid w:val="001F73E8"/>
    <w:rsid w:val="00200C4A"/>
    <w:rsid w:val="0020262C"/>
    <w:rsid w:val="00202723"/>
    <w:rsid w:val="002034F4"/>
    <w:rsid w:val="00203DE0"/>
    <w:rsid w:val="002051B6"/>
    <w:rsid w:val="002057B7"/>
    <w:rsid w:val="002061B0"/>
    <w:rsid w:val="00206C88"/>
    <w:rsid w:val="002102E3"/>
    <w:rsid w:val="0021107C"/>
    <w:rsid w:val="00211A3E"/>
    <w:rsid w:val="002127B3"/>
    <w:rsid w:val="00213E98"/>
    <w:rsid w:val="00213F20"/>
    <w:rsid w:val="00214055"/>
    <w:rsid w:val="00215BCA"/>
    <w:rsid w:val="002160F5"/>
    <w:rsid w:val="002169B7"/>
    <w:rsid w:val="00216A9B"/>
    <w:rsid w:val="00216BC5"/>
    <w:rsid w:val="00216CD7"/>
    <w:rsid w:val="00217AC4"/>
    <w:rsid w:val="00217B2A"/>
    <w:rsid w:val="0022012D"/>
    <w:rsid w:val="00220357"/>
    <w:rsid w:val="00220550"/>
    <w:rsid w:val="00220E48"/>
    <w:rsid w:val="00221461"/>
    <w:rsid w:val="0022217C"/>
    <w:rsid w:val="00222920"/>
    <w:rsid w:val="00224537"/>
    <w:rsid w:val="002257D2"/>
    <w:rsid w:val="00225F8F"/>
    <w:rsid w:val="002263E1"/>
    <w:rsid w:val="00226AA4"/>
    <w:rsid w:val="002276C2"/>
    <w:rsid w:val="002300E2"/>
    <w:rsid w:val="00230E9A"/>
    <w:rsid w:val="00231C9D"/>
    <w:rsid w:val="00231DDF"/>
    <w:rsid w:val="00232F19"/>
    <w:rsid w:val="00233CF0"/>
    <w:rsid w:val="00234099"/>
    <w:rsid w:val="00234B55"/>
    <w:rsid w:val="00234BAC"/>
    <w:rsid w:val="00234BD2"/>
    <w:rsid w:val="002351FA"/>
    <w:rsid w:val="00235956"/>
    <w:rsid w:val="002360CF"/>
    <w:rsid w:val="00236D1F"/>
    <w:rsid w:val="0023796B"/>
    <w:rsid w:val="00243C14"/>
    <w:rsid w:val="00243E5E"/>
    <w:rsid w:val="0024513E"/>
    <w:rsid w:val="002467A6"/>
    <w:rsid w:val="00247C9A"/>
    <w:rsid w:val="00250244"/>
    <w:rsid w:val="00250C2B"/>
    <w:rsid w:val="00250E8D"/>
    <w:rsid w:val="002514B9"/>
    <w:rsid w:val="0025160C"/>
    <w:rsid w:val="0025161A"/>
    <w:rsid w:val="002529A8"/>
    <w:rsid w:val="002535D0"/>
    <w:rsid w:val="002539B3"/>
    <w:rsid w:val="00253BCF"/>
    <w:rsid w:val="00256336"/>
    <w:rsid w:val="0025641D"/>
    <w:rsid w:val="002570EB"/>
    <w:rsid w:val="00257BFE"/>
    <w:rsid w:val="00257C3E"/>
    <w:rsid w:val="0026014E"/>
    <w:rsid w:val="002601F9"/>
    <w:rsid w:val="002602C2"/>
    <w:rsid w:val="00261243"/>
    <w:rsid w:val="00262312"/>
    <w:rsid w:val="00262990"/>
    <w:rsid w:val="00264515"/>
    <w:rsid w:val="00264AF3"/>
    <w:rsid w:val="00265010"/>
    <w:rsid w:val="00265D3B"/>
    <w:rsid w:val="00265DCB"/>
    <w:rsid w:val="002666C9"/>
    <w:rsid w:val="0026689C"/>
    <w:rsid w:val="00266E3E"/>
    <w:rsid w:val="002673A2"/>
    <w:rsid w:val="00270136"/>
    <w:rsid w:val="00270C7B"/>
    <w:rsid w:val="00270FD7"/>
    <w:rsid w:val="0027282E"/>
    <w:rsid w:val="00273687"/>
    <w:rsid w:val="00273963"/>
    <w:rsid w:val="00274197"/>
    <w:rsid w:val="00274F5B"/>
    <w:rsid w:val="00275355"/>
    <w:rsid w:val="00276E1A"/>
    <w:rsid w:val="00277A89"/>
    <w:rsid w:val="00280836"/>
    <w:rsid w:val="00280BDC"/>
    <w:rsid w:val="00282CA4"/>
    <w:rsid w:val="00282E1A"/>
    <w:rsid w:val="00283F16"/>
    <w:rsid w:val="002840F1"/>
    <w:rsid w:val="002849EE"/>
    <w:rsid w:val="0028547C"/>
    <w:rsid w:val="00285922"/>
    <w:rsid w:val="00286A05"/>
    <w:rsid w:val="00287D01"/>
    <w:rsid w:val="00290FFB"/>
    <w:rsid w:val="0029113B"/>
    <w:rsid w:val="002915E7"/>
    <w:rsid w:val="002934C0"/>
    <w:rsid w:val="00293E1F"/>
    <w:rsid w:val="002969F2"/>
    <w:rsid w:val="0029764C"/>
    <w:rsid w:val="00297E31"/>
    <w:rsid w:val="002A03A0"/>
    <w:rsid w:val="002A1B50"/>
    <w:rsid w:val="002A1F8A"/>
    <w:rsid w:val="002A245D"/>
    <w:rsid w:val="002A5473"/>
    <w:rsid w:val="002A565D"/>
    <w:rsid w:val="002A5BCF"/>
    <w:rsid w:val="002A5BF0"/>
    <w:rsid w:val="002A6E04"/>
    <w:rsid w:val="002A7756"/>
    <w:rsid w:val="002B0171"/>
    <w:rsid w:val="002B0E91"/>
    <w:rsid w:val="002B0F71"/>
    <w:rsid w:val="002B109D"/>
    <w:rsid w:val="002B12F6"/>
    <w:rsid w:val="002B132C"/>
    <w:rsid w:val="002B1D85"/>
    <w:rsid w:val="002B3F23"/>
    <w:rsid w:val="002B4EB5"/>
    <w:rsid w:val="002B5AF5"/>
    <w:rsid w:val="002B6779"/>
    <w:rsid w:val="002B71C0"/>
    <w:rsid w:val="002B7A34"/>
    <w:rsid w:val="002B7C75"/>
    <w:rsid w:val="002C31AD"/>
    <w:rsid w:val="002C3393"/>
    <w:rsid w:val="002C50EB"/>
    <w:rsid w:val="002C5264"/>
    <w:rsid w:val="002C685E"/>
    <w:rsid w:val="002C7385"/>
    <w:rsid w:val="002C778F"/>
    <w:rsid w:val="002C7DA5"/>
    <w:rsid w:val="002D0290"/>
    <w:rsid w:val="002D11BF"/>
    <w:rsid w:val="002D16B8"/>
    <w:rsid w:val="002D2DBB"/>
    <w:rsid w:val="002D37D8"/>
    <w:rsid w:val="002D54A6"/>
    <w:rsid w:val="002D5979"/>
    <w:rsid w:val="002D781B"/>
    <w:rsid w:val="002E0EDC"/>
    <w:rsid w:val="002E3779"/>
    <w:rsid w:val="002E4FAC"/>
    <w:rsid w:val="002E5A46"/>
    <w:rsid w:val="002E5BF9"/>
    <w:rsid w:val="002E6383"/>
    <w:rsid w:val="002E6582"/>
    <w:rsid w:val="002E6A7A"/>
    <w:rsid w:val="002E7260"/>
    <w:rsid w:val="002F0B5E"/>
    <w:rsid w:val="002F0DF1"/>
    <w:rsid w:val="002F1B52"/>
    <w:rsid w:val="002F1E49"/>
    <w:rsid w:val="002F4C64"/>
    <w:rsid w:val="002F4E9C"/>
    <w:rsid w:val="002F6601"/>
    <w:rsid w:val="002F6E15"/>
    <w:rsid w:val="002F7662"/>
    <w:rsid w:val="002F7676"/>
    <w:rsid w:val="003016F7"/>
    <w:rsid w:val="003022F8"/>
    <w:rsid w:val="00302F4E"/>
    <w:rsid w:val="003037F7"/>
    <w:rsid w:val="0030621E"/>
    <w:rsid w:val="00306D8D"/>
    <w:rsid w:val="00307C0E"/>
    <w:rsid w:val="00307F65"/>
    <w:rsid w:val="00310DD2"/>
    <w:rsid w:val="0031226F"/>
    <w:rsid w:val="0031256C"/>
    <w:rsid w:val="003131BB"/>
    <w:rsid w:val="00314D6C"/>
    <w:rsid w:val="00315766"/>
    <w:rsid w:val="003161D9"/>
    <w:rsid w:val="00316770"/>
    <w:rsid w:val="00316D2A"/>
    <w:rsid w:val="003175EE"/>
    <w:rsid w:val="0032055E"/>
    <w:rsid w:val="0032066B"/>
    <w:rsid w:val="00322A7C"/>
    <w:rsid w:val="00322CA8"/>
    <w:rsid w:val="00322EEC"/>
    <w:rsid w:val="00323061"/>
    <w:rsid w:val="0032333F"/>
    <w:rsid w:val="0032432B"/>
    <w:rsid w:val="003245A4"/>
    <w:rsid w:val="00326225"/>
    <w:rsid w:val="0033157F"/>
    <w:rsid w:val="00331732"/>
    <w:rsid w:val="0033227B"/>
    <w:rsid w:val="003338EA"/>
    <w:rsid w:val="00333E29"/>
    <w:rsid w:val="00336545"/>
    <w:rsid w:val="00337870"/>
    <w:rsid w:val="003402D3"/>
    <w:rsid w:val="0034068E"/>
    <w:rsid w:val="00343ABC"/>
    <w:rsid w:val="00344E69"/>
    <w:rsid w:val="00345124"/>
    <w:rsid w:val="00345432"/>
    <w:rsid w:val="00345CC2"/>
    <w:rsid w:val="003463FE"/>
    <w:rsid w:val="003472FC"/>
    <w:rsid w:val="00347AA5"/>
    <w:rsid w:val="00347B2E"/>
    <w:rsid w:val="00347D41"/>
    <w:rsid w:val="003532F4"/>
    <w:rsid w:val="00353584"/>
    <w:rsid w:val="00354A29"/>
    <w:rsid w:val="003553E3"/>
    <w:rsid w:val="003554B3"/>
    <w:rsid w:val="00355639"/>
    <w:rsid w:val="00356632"/>
    <w:rsid w:val="00357607"/>
    <w:rsid w:val="00357C7E"/>
    <w:rsid w:val="00360279"/>
    <w:rsid w:val="00362134"/>
    <w:rsid w:val="0036371B"/>
    <w:rsid w:val="00363CC5"/>
    <w:rsid w:val="003653B6"/>
    <w:rsid w:val="00367327"/>
    <w:rsid w:val="00367ED3"/>
    <w:rsid w:val="00370327"/>
    <w:rsid w:val="00370BA7"/>
    <w:rsid w:val="00374BFA"/>
    <w:rsid w:val="00374CC4"/>
    <w:rsid w:val="003759D8"/>
    <w:rsid w:val="00376E3B"/>
    <w:rsid w:val="00377104"/>
    <w:rsid w:val="003774B2"/>
    <w:rsid w:val="00380F2D"/>
    <w:rsid w:val="003831B6"/>
    <w:rsid w:val="003844C6"/>
    <w:rsid w:val="00384500"/>
    <w:rsid w:val="003845A9"/>
    <w:rsid w:val="003850C9"/>
    <w:rsid w:val="00390883"/>
    <w:rsid w:val="003909D6"/>
    <w:rsid w:val="00390A4F"/>
    <w:rsid w:val="00390DFF"/>
    <w:rsid w:val="00391D6E"/>
    <w:rsid w:val="003922F8"/>
    <w:rsid w:val="00394838"/>
    <w:rsid w:val="00394924"/>
    <w:rsid w:val="00395B24"/>
    <w:rsid w:val="00395C1C"/>
    <w:rsid w:val="00397F3A"/>
    <w:rsid w:val="003A0F20"/>
    <w:rsid w:val="003A123E"/>
    <w:rsid w:val="003A2D38"/>
    <w:rsid w:val="003A7BB0"/>
    <w:rsid w:val="003A7ECC"/>
    <w:rsid w:val="003B08B3"/>
    <w:rsid w:val="003B0A15"/>
    <w:rsid w:val="003B0BF7"/>
    <w:rsid w:val="003B2C72"/>
    <w:rsid w:val="003B2EB8"/>
    <w:rsid w:val="003B406B"/>
    <w:rsid w:val="003B443E"/>
    <w:rsid w:val="003B58B4"/>
    <w:rsid w:val="003B5E04"/>
    <w:rsid w:val="003B7B70"/>
    <w:rsid w:val="003C1333"/>
    <w:rsid w:val="003C20FF"/>
    <w:rsid w:val="003C2A20"/>
    <w:rsid w:val="003C4FD8"/>
    <w:rsid w:val="003C5350"/>
    <w:rsid w:val="003C550A"/>
    <w:rsid w:val="003C569E"/>
    <w:rsid w:val="003C6055"/>
    <w:rsid w:val="003C7876"/>
    <w:rsid w:val="003C7A79"/>
    <w:rsid w:val="003D17B4"/>
    <w:rsid w:val="003D22EF"/>
    <w:rsid w:val="003D2649"/>
    <w:rsid w:val="003D2650"/>
    <w:rsid w:val="003D3BCF"/>
    <w:rsid w:val="003D465A"/>
    <w:rsid w:val="003D560C"/>
    <w:rsid w:val="003D5C00"/>
    <w:rsid w:val="003E110E"/>
    <w:rsid w:val="003E2616"/>
    <w:rsid w:val="003E3154"/>
    <w:rsid w:val="003E38EA"/>
    <w:rsid w:val="003E3E39"/>
    <w:rsid w:val="003E49C4"/>
    <w:rsid w:val="003E5874"/>
    <w:rsid w:val="003E62C4"/>
    <w:rsid w:val="003E6534"/>
    <w:rsid w:val="003E728D"/>
    <w:rsid w:val="003E72D3"/>
    <w:rsid w:val="003E7E99"/>
    <w:rsid w:val="003F193E"/>
    <w:rsid w:val="003F242C"/>
    <w:rsid w:val="003F26FB"/>
    <w:rsid w:val="003F34F1"/>
    <w:rsid w:val="003F5728"/>
    <w:rsid w:val="003F5E03"/>
    <w:rsid w:val="003F669A"/>
    <w:rsid w:val="004024F7"/>
    <w:rsid w:val="00402DED"/>
    <w:rsid w:val="004031D8"/>
    <w:rsid w:val="00405D45"/>
    <w:rsid w:val="0040613D"/>
    <w:rsid w:val="00407697"/>
    <w:rsid w:val="004079E1"/>
    <w:rsid w:val="0041024D"/>
    <w:rsid w:val="004104B6"/>
    <w:rsid w:val="00411AE8"/>
    <w:rsid w:val="00413340"/>
    <w:rsid w:val="00413785"/>
    <w:rsid w:val="00413959"/>
    <w:rsid w:val="00413B74"/>
    <w:rsid w:val="00415EA1"/>
    <w:rsid w:val="0042077A"/>
    <w:rsid w:val="00420BEC"/>
    <w:rsid w:val="0042203E"/>
    <w:rsid w:val="00423A6C"/>
    <w:rsid w:val="0042507A"/>
    <w:rsid w:val="004253AB"/>
    <w:rsid w:val="00425560"/>
    <w:rsid w:val="00425584"/>
    <w:rsid w:val="004255B4"/>
    <w:rsid w:val="004261F5"/>
    <w:rsid w:val="00426586"/>
    <w:rsid w:val="0042663D"/>
    <w:rsid w:val="00430FFD"/>
    <w:rsid w:val="004329FE"/>
    <w:rsid w:val="004342F3"/>
    <w:rsid w:val="00435C5F"/>
    <w:rsid w:val="00436155"/>
    <w:rsid w:val="00436460"/>
    <w:rsid w:val="00441A44"/>
    <w:rsid w:val="00441E98"/>
    <w:rsid w:val="004421F0"/>
    <w:rsid w:val="00446CD0"/>
    <w:rsid w:val="00450F3A"/>
    <w:rsid w:val="004532F7"/>
    <w:rsid w:val="004551D1"/>
    <w:rsid w:val="00464D51"/>
    <w:rsid w:val="004670AE"/>
    <w:rsid w:val="00467CC6"/>
    <w:rsid w:val="00470E10"/>
    <w:rsid w:val="004712A1"/>
    <w:rsid w:val="00472027"/>
    <w:rsid w:val="004734D9"/>
    <w:rsid w:val="00473731"/>
    <w:rsid w:val="00474E63"/>
    <w:rsid w:val="00475367"/>
    <w:rsid w:val="004755E7"/>
    <w:rsid w:val="004765A6"/>
    <w:rsid w:val="00476C00"/>
    <w:rsid w:val="0047702C"/>
    <w:rsid w:val="00477C19"/>
    <w:rsid w:val="004804CF"/>
    <w:rsid w:val="004807EB"/>
    <w:rsid w:val="00483314"/>
    <w:rsid w:val="00484962"/>
    <w:rsid w:val="00484F6D"/>
    <w:rsid w:val="00484FB7"/>
    <w:rsid w:val="0048554D"/>
    <w:rsid w:val="00487304"/>
    <w:rsid w:val="004879F7"/>
    <w:rsid w:val="00490181"/>
    <w:rsid w:val="00492F05"/>
    <w:rsid w:val="00493141"/>
    <w:rsid w:val="0049338A"/>
    <w:rsid w:val="0049417F"/>
    <w:rsid w:val="004954F4"/>
    <w:rsid w:val="00496D41"/>
    <w:rsid w:val="004A37D3"/>
    <w:rsid w:val="004A4CA3"/>
    <w:rsid w:val="004A6602"/>
    <w:rsid w:val="004B0704"/>
    <w:rsid w:val="004B15CF"/>
    <w:rsid w:val="004B2AD6"/>
    <w:rsid w:val="004B2EDB"/>
    <w:rsid w:val="004B35B0"/>
    <w:rsid w:val="004B3EFA"/>
    <w:rsid w:val="004C2A87"/>
    <w:rsid w:val="004C4D7B"/>
    <w:rsid w:val="004C4ED3"/>
    <w:rsid w:val="004C667B"/>
    <w:rsid w:val="004C7724"/>
    <w:rsid w:val="004C7ECD"/>
    <w:rsid w:val="004D0B05"/>
    <w:rsid w:val="004D2EA5"/>
    <w:rsid w:val="004D32A6"/>
    <w:rsid w:val="004D38A5"/>
    <w:rsid w:val="004D3B4B"/>
    <w:rsid w:val="004D3DB1"/>
    <w:rsid w:val="004D4C1A"/>
    <w:rsid w:val="004D53E5"/>
    <w:rsid w:val="004D671F"/>
    <w:rsid w:val="004D7950"/>
    <w:rsid w:val="004D7A47"/>
    <w:rsid w:val="004D7ADB"/>
    <w:rsid w:val="004E69FA"/>
    <w:rsid w:val="004E6DC4"/>
    <w:rsid w:val="004E7B96"/>
    <w:rsid w:val="004E7F24"/>
    <w:rsid w:val="004F21C1"/>
    <w:rsid w:val="004F2782"/>
    <w:rsid w:val="004F339D"/>
    <w:rsid w:val="004F33FF"/>
    <w:rsid w:val="004F7B5F"/>
    <w:rsid w:val="00500F70"/>
    <w:rsid w:val="00501A12"/>
    <w:rsid w:val="0050309C"/>
    <w:rsid w:val="00503643"/>
    <w:rsid w:val="00504EA5"/>
    <w:rsid w:val="005109A1"/>
    <w:rsid w:val="0051327C"/>
    <w:rsid w:val="0051346D"/>
    <w:rsid w:val="00513792"/>
    <w:rsid w:val="00513976"/>
    <w:rsid w:val="00513BA6"/>
    <w:rsid w:val="00513EAE"/>
    <w:rsid w:val="0051434F"/>
    <w:rsid w:val="005156BF"/>
    <w:rsid w:val="00515891"/>
    <w:rsid w:val="00516647"/>
    <w:rsid w:val="00516806"/>
    <w:rsid w:val="005176DD"/>
    <w:rsid w:val="0052098C"/>
    <w:rsid w:val="00522633"/>
    <w:rsid w:val="00523A28"/>
    <w:rsid w:val="00525A49"/>
    <w:rsid w:val="00525FD8"/>
    <w:rsid w:val="005262D1"/>
    <w:rsid w:val="005266DB"/>
    <w:rsid w:val="00526B85"/>
    <w:rsid w:val="005300A2"/>
    <w:rsid w:val="00530876"/>
    <w:rsid w:val="00533C1F"/>
    <w:rsid w:val="00534C38"/>
    <w:rsid w:val="00535304"/>
    <w:rsid w:val="00535305"/>
    <w:rsid w:val="00535613"/>
    <w:rsid w:val="005359EB"/>
    <w:rsid w:val="00537797"/>
    <w:rsid w:val="00537B23"/>
    <w:rsid w:val="005401D1"/>
    <w:rsid w:val="00541820"/>
    <w:rsid w:val="00541868"/>
    <w:rsid w:val="0054254A"/>
    <w:rsid w:val="0054500B"/>
    <w:rsid w:val="00545AA9"/>
    <w:rsid w:val="00545FF1"/>
    <w:rsid w:val="005466B5"/>
    <w:rsid w:val="00546DB2"/>
    <w:rsid w:val="00546F7F"/>
    <w:rsid w:val="005479AD"/>
    <w:rsid w:val="00550FAA"/>
    <w:rsid w:val="0055184E"/>
    <w:rsid w:val="00552204"/>
    <w:rsid w:val="00552CF1"/>
    <w:rsid w:val="00553A00"/>
    <w:rsid w:val="00554314"/>
    <w:rsid w:val="00557B00"/>
    <w:rsid w:val="00561B55"/>
    <w:rsid w:val="00562829"/>
    <w:rsid w:val="005629B3"/>
    <w:rsid w:val="00563490"/>
    <w:rsid w:val="00564A99"/>
    <w:rsid w:val="0057128A"/>
    <w:rsid w:val="005724F6"/>
    <w:rsid w:val="00573AC4"/>
    <w:rsid w:val="00575C31"/>
    <w:rsid w:val="00575E00"/>
    <w:rsid w:val="00576AE1"/>
    <w:rsid w:val="005801FC"/>
    <w:rsid w:val="00580E31"/>
    <w:rsid w:val="00580E89"/>
    <w:rsid w:val="00580FF0"/>
    <w:rsid w:val="00581AD5"/>
    <w:rsid w:val="00585276"/>
    <w:rsid w:val="00585BA9"/>
    <w:rsid w:val="00587359"/>
    <w:rsid w:val="005914FE"/>
    <w:rsid w:val="005919FE"/>
    <w:rsid w:val="00592D24"/>
    <w:rsid w:val="00593108"/>
    <w:rsid w:val="00595016"/>
    <w:rsid w:val="00595822"/>
    <w:rsid w:val="00595EF2"/>
    <w:rsid w:val="00596A40"/>
    <w:rsid w:val="00596EFF"/>
    <w:rsid w:val="00597AAE"/>
    <w:rsid w:val="005A17B0"/>
    <w:rsid w:val="005A1FBC"/>
    <w:rsid w:val="005A222C"/>
    <w:rsid w:val="005A28F8"/>
    <w:rsid w:val="005A3199"/>
    <w:rsid w:val="005A33A3"/>
    <w:rsid w:val="005A4DF8"/>
    <w:rsid w:val="005A7534"/>
    <w:rsid w:val="005A78C8"/>
    <w:rsid w:val="005B08DA"/>
    <w:rsid w:val="005B1426"/>
    <w:rsid w:val="005B286E"/>
    <w:rsid w:val="005B5480"/>
    <w:rsid w:val="005B7BAD"/>
    <w:rsid w:val="005C0A8E"/>
    <w:rsid w:val="005C1767"/>
    <w:rsid w:val="005C185C"/>
    <w:rsid w:val="005C42EF"/>
    <w:rsid w:val="005C5311"/>
    <w:rsid w:val="005D041B"/>
    <w:rsid w:val="005D0AF2"/>
    <w:rsid w:val="005D1024"/>
    <w:rsid w:val="005D3274"/>
    <w:rsid w:val="005D330C"/>
    <w:rsid w:val="005D529B"/>
    <w:rsid w:val="005D5678"/>
    <w:rsid w:val="005D75A5"/>
    <w:rsid w:val="005D7699"/>
    <w:rsid w:val="005E02F5"/>
    <w:rsid w:val="005E0510"/>
    <w:rsid w:val="005E176E"/>
    <w:rsid w:val="005E218E"/>
    <w:rsid w:val="005E35A0"/>
    <w:rsid w:val="005E3B0D"/>
    <w:rsid w:val="005E58AA"/>
    <w:rsid w:val="005E5B91"/>
    <w:rsid w:val="005E71CD"/>
    <w:rsid w:val="005F0D1B"/>
    <w:rsid w:val="005F1865"/>
    <w:rsid w:val="005F1A0F"/>
    <w:rsid w:val="005F31D8"/>
    <w:rsid w:val="005F3BBB"/>
    <w:rsid w:val="005F50C8"/>
    <w:rsid w:val="005F547F"/>
    <w:rsid w:val="005F55A2"/>
    <w:rsid w:val="005F5821"/>
    <w:rsid w:val="005F60AC"/>
    <w:rsid w:val="005F670A"/>
    <w:rsid w:val="006002E9"/>
    <w:rsid w:val="006004A1"/>
    <w:rsid w:val="006007BD"/>
    <w:rsid w:val="006013C8"/>
    <w:rsid w:val="00601DD5"/>
    <w:rsid w:val="006025E5"/>
    <w:rsid w:val="0060270D"/>
    <w:rsid w:val="00604342"/>
    <w:rsid w:val="00604611"/>
    <w:rsid w:val="00611586"/>
    <w:rsid w:val="006119AE"/>
    <w:rsid w:val="00611E92"/>
    <w:rsid w:val="00612D26"/>
    <w:rsid w:val="00613E98"/>
    <w:rsid w:val="006147FB"/>
    <w:rsid w:val="00614817"/>
    <w:rsid w:val="00614C9B"/>
    <w:rsid w:val="00615855"/>
    <w:rsid w:val="006168C7"/>
    <w:rsid w:val="006174B1"/>
    <w:rsid w:val="00620DA8"/>
    <w:rsid w:val="00621641"/>
    <w:rsid w:val="00621887"/>
    <w:rsid w:val="006227AC"/>
    <w:rsid w:val="00622D5F"/>
    <w:rsid w:val="0062434F"/>
    <w:rsid w:val="00624520"/>
    <w:rsid w:val="00625D22"/>
    <w:rsid w:val="006262DE"/>
    <w:rsid w:val="00626ED5"/>
    <w:rsid w:val="006270B3"/>
    <w:rsid w:val="006271F5"/>
    <w:rsid w:val="00631CF4"/>
    <w:rsid w:val="00632300"/>
    <w:rsid w:val="00632BB7"/>
    <w:rsid w:val="00633599"/>
    <w:rsid w:val="00634CD1"/>
    <w:rsid w:val="00634E4D"/>
    <w:rsid w:val="00635B36"/>
    <w:rsid w:val="00636871"/>
    <w:rsid w:val="00640EE1"/>
    <w:rsid w:val="00640F4E"/>
    <w:rsid w:val="006423C0"/>
    <w:rsid w:val="00642F35"/>
    <w:rsid w:val="00643728"/>
    <w:rsid w:val="00643A76"/>
    <w:rsid w:val="00643DE0"/>
    <w:rsid w:val="0064437D"/>
    <w:rsid w:val="00644E85"/>
    <w:rsid w:val="0064618F"/>
    <w:rsid w:val="00650197"/>
    <w:rsid w:val="006516D8"/>
    <w:rsid w:val="006526EB"/>
    <w:rsid w:val="00652C52"/>
    <w:rsid w:val="006531D5"/>
    <w:rsid w:val="006570B6"/>
    <w:rsid w:val="00660324"/>
    <w:rsid w:val="0066063F"/>
    <w:rsid w:val="006607F3"/>
    <w:rsid w:val="00660BAC"/>
    <w:rsid w:val="00662BB0"/>
    <w:rsid w:val="00663878"/>
    <w:rsid w:val="006668BE"/>
    <w:rsid w:val="00667773"/>
    <w:rsid w:val="00670743"/>
    <w:rsid w:val="0067093D"/>
    <w:rsid w:val="0067241D"/>
    <w:rsid w:val="00672657"/>
    <w:rsid w:val="0067265B"/>
    <w:rsid w:val="00673DFD"/>
    <w:rsid w:val="00676694"/>
    <w:rsid w:val="00680A85"/>
    <w:rsid w:val="006810B4"/>
    <w:rsid w:val="00681ADF"/>
    <w:rsid w:val="00683B4D"/>
    <w:rsid w:val="00684D80"/>
    <w:rsid w:val="00685168"/>
    <w:rsid w:val="00685318"/>
    <w:rsid w:val="00686DE9"/>
    <w:rsid w:val="006876C3"/>
    <w:rsid w:val="006879B9"/>
    <w:rsid w:val="0069002A"/>
    <w:rsid w:val="006904B8"/>
    <w:rsid w:val="00690EE2"/>
    <w:rsid w:val="006912CA"/>
    <w:rsid w:val="00693704"/>
    <w:rsid w:val="00693854"/>
    <w:rsid w:val="00694BEB"/>
    <w:rsid w:val="00695B64"/>
    <w:rsid w:val="006A0E20"/>
    <w:rsid w:val="006A1F38"/>
    <w:rsid w:val="006A24E3"/>
    <w:rsid w:val="006A49F1"/>
    <w:rsid w:val="006A55A9"/>
    <w:rsid w:val="006A5695"/>
    <w:rsid w:val="006A56C1"/>
    <w:rsid w:val="006A5A09"/>
    <w:rsid w:val="006A6632"/>
    <w:rsid w:val="006B0439"/>
    <w:rsid w:val="006B047B"/>
    <w:rsid w:val="006B06DD"/>
    <w:rsid w:val="006B115D"/>
    <w:rsid w:val="006B253D"/>
    <w:rsid w:val="006B279C"/>
    <w:rsid w:val="006B2E73"/>
    <w:rsid w:val="006B3904"/>
    <w:rsid w:val="006B47B7"/>
    <w:rsid w:val="006B51B6"/>
    <w:rsid w:val="006B58AD"/>
    <w:rsid w:val="006B5B7D"/>
    <w:rsid w:val="006B6B05"/>
    <w:rsid w:val="006C2DF0"/>
    <w:rsid w:val="006C301A"/>
    <w:rsid w:val="006C5B46"/>
    <w:rsid w:val="006C6E39"/>
    <w:rsid w:val="006D06FD"/>
    <w:rsid w:val="006D0ECF"/>
    <w:rsid w:val="006D11A4"/>
    <w:rsid w:val="006D25EA"/>
    <w:rsid w:val="006D3D5B"/>
    <w:rsid w:val="006D40B8"/>
    <w:rsid w:val="006D4C92"/>
    <w:rsid w:val="006D4EB6"/>
    <w:rsid w:val="006D6398"/>
    <w:rsid w:val="006D6780"/>
    <w:rsid w:val="006D7FBC"/>
    <w:rsid w:val="006E0C8B"/>
    <w:rsid w:val="006E1562"/>
    <w:rsid w:val="006E1574"/>
    <w:rsid w:val="006E28FA"/>
    <w:rsid w:val="006E35BF"/>
    <w:rsid w:val="006E3CF2"/>
    <w:rsid w:val="006E473D"/>
    <w:rsid w:val="006E48F8"/>
    <w:rsid w:val="006E6FD9"/>
    <w:rsid w:val="006E7850"/>
    <w:rsid w:val="006F0E49"/>
    <w:rsid w:val="006F19D8"/>
    <w:rsid w:val="006F4603"/>
    <w:rsid w:val="006F46D6"/>
    <w:rsid w:val="006F4BBB"/>
    <w:rsid w:val="006F60DC"/>
    <w:rsid w:val="0070136E"/>
    <w:rsid w:val="00701A36"/>
    <w:rsid w:val="0070238E"/>
    <w:rsid w:val="007028D9"/>
    <w:rsid w:val="00702966"/>
    <w:rsid w:val="0070532F"/>
    <w:rsid w:val="00705E88"/>
    <w:rsid w:val="0070642C"/>
    <w:rsid w:val="00707218"/>
    <w:rsid w:val="00710354"/>
    <w:rsid w:val="00710D04"/>
    <w:rsid w:val="007115D0"/>
    <w:rsid w:val="00711E18"/>
    <w:rsid w:val="007123B3"/>
    <w:rsid w:val="00712B1D"/>
    <w:rsid w:val="00714467"/>
    <w:rsid w:val="00715751"/>
    <w:rsid w:val="00716641"/>
    <w:rsid w:val="00716BE1"/>
    <w:rsid w:val="007171BA"/>
    <w:rsid w:val="00717616"/>
    <w:rsid w:val="007218CC"/>
    <w:rsid w:val="00723057"/>
    <w:rsid w:val="00723D81"/>
    <w:rsid w:val="00727EA1"/>
    <w:rsid w:val="007325D9"/>
    <w:rsid w:val="00732C4F"/>
    <w:rsid w:val="0073361B"/>
    <w:rsid w:val="0073413F"/>
    <w:rsid w:val="00734607"/>
    <w:rsid w:val="0073583B"/>
    <w:rsid w:val="0073592E"/>
    <w:rsid w:val="00735AB3"/>
    <w:rsid w:val="007360CA"/>
    <w:rsid w:val="007373C4"/>
    <w:rsid w:val="007407B4"/>
    <w:rsid w:val="00740B49"/>
    <w:rsid w:val="0074400D"/>
    <w:rsid w:val="0074461A"/>
    <w:rsid w:val="00745737"/>
    <w:rsid w:val="00745B40"/>
    <w:rsid w:val="0074667B"/>
    <w:rsid w:val="007468F9"/>
    <w:rsid w:val="007470BD"/>
    <w:rsid w:val="00754A6D"/>
    <w:rsid w:val="00754F3C"/>
    <w:rsid w:val="00757517"/>
    <w:rsid w:val="00760BD9"/>
    <w:rsid w:val="00760EC0"/>
    <w:rsid w:val="007614AB"/>
    <w:rsid w:val="007621E4"/>
    <w:rsid w:val="00764198"/>
    <w:rsid w:val="0076504A"/>
    <w:rsid w:val="00765072"/>
    <w:rsid w:val="00766935"/>
    <w:rsid w:val="00766A44"/>
    <w:rsid w:val="0077086E"/>
    <w:rsid w:val="00770E8A"/>
    <w:rsid w:val="007711BD"/>
    <w:rsid w:val="0077139F"/>
    <w:rsid w:val="00771A81"/>
    <w:rsid w:val="00771B92"/>
    <w:rsid w:val="00774229"/>
    <w:rsid w:val="007747F3"/>
    <w:rsid w:val="00774AA7"/>
    <w:rsid w:val="00775316"/>
    <w:rsid w:val="0077679B"/>
    <w:rsid w:val="00776D3A"/>
    <w:rsid w:val="0078003A"/>
    <w:rsid w:val="00780771"/>
    <w:rsid w:val="007807C2"/>
    <w:rsid w:val="00781D9B"/>
    <w:rsid w:val="007833DF"/>
    <w:rsid w:val="00783C9A"/>
    <w:rsid w:val="0078479E"/>
    <w:rsid w:val="00785583"/>
    <w:rsid w:val="00787F57"/>
    <w:rsid w:val="007913BC"/>
    <w:rsid w:val="007929CF"/>
    <w:rsid w:val="00794670"/>
    <w:rsid w:val="00796B77"/>
    <w:rsid w:val="00796B8F"/>
    <w:rsid w:val="007970E5"/>
    <w:rsid w:val="0079750B"/>
    <w:rsid w:val="00797BA8"/>
    <w:rsid w:val="007A0231"/>
    <w:rsid w:val="007A081D"/>
    <w:rsid w:val="007A27DA"/>
    <w:rsid w:val="007A3587"/>
    <w:rsid w:val="007A49E7"/>
    <w:rsid w:val="007A6F28"/>
    <w:rsid w:val="007A74B4"/>
    <w:rsid w:val="007B028F"/>
    <w:rsid w:val="007B03C6"/>
    <w:rsid w:val="007B0748"/>
    <w:rsid w:val="007B0C8F"/>
    <w:rsid w:val="007B0DB1"/>
    <w:rsid w:val="007B151F"/>
    <w:rsid w:val="007B17CC"/>
    <w:rsid w:val="007B1CA0"/>
    <w:rsid w:val="007B3BA9"/>
    <w:rsid w:val="007B5673"/>
    <w:rsid w:val="007B5BAE"/>
    <w:rsid w:val="007B7238"/>
    <w:rsid w:val="007B76FF"/>
    <w:rsid w:val="007B7905"/>
    <w:rsid w:val="007C133C"/>
    <w:rsid w:val="007C245E"/>
    <w:rsid w:val="007C282B"/>
    <w:rsid w:val="007C2F86"/>
    <w:rsid w:val="007C34E4"/>
    <w:rsid w:val="007C3848"/>
    <w:rsid w:val="007C3BF6"/>
    <w:rsid w:val="007C67B3"/>
    <w:rsid w:val="007C6E1F"/>
    <w:rsid w:val="007C6FF3"/>
    <w:rsid w:val="007C7106"/>
    <w:rsid w:val="007D0FD2"/>
    <w:rsid w:val="007D15B9"/>
    <w:rsid w:val="007D2EF8"/>
    <w:rsid w:val="007D33CC"/>
    <w:rsid w:val="007D4B97"/>
    <w:rsid w:val="007D4C31"/>
    <w:rsid w:val="007D561F"/>
    <w:rsid w:val="007D7E38"/>
    <w:rsid w:val="007D7FD2"/>
    <w:rsid w:val="007E13D9"/>
    <w:rsid w:val="007E2AEC"/>
    <w:rsid w:val="007E41BE"/>
    <w:rsid w:val="007E4DB6"/>
    <w:rsid w:val="007E5008"/>
    <w:rsid w:val="007E61F8"/>
    <w:rsid w:val="007E6733"/>
    <w:rsid w:val="007E6DBE"/>
    <w:rsid w:val="007E7BCB"/>
    <w:rsid w:val="007E7CD4"/>
    <w:rsid w:val="007F081E"/>
    <w:rsid w:val="007F12AC"/>
    <w:rsid w:val="007F1E84"/>
    <w:rsid w:val="007F22B0"/>
    <w:rsid w:val="007F3127"/>
    <w:rsid w:val="007F3439"/>
    <w:rsid w:val="007F393C"/>
    <w:rsid w:val="007F4264"/>
    <w:rsid w:val="007F4501"/>
    <w:rsid w:val="007F60DF"/>
    <w:rsid w:val="007F6791"/>
    <w:rsid w:val="00801800"/>
    <w:rsid w:val="00801861"/>
    <w:rsid w:val="00801B5B"/>
    <w:rsid w:val="00801F88"/>
    <w:rsid w:val="0080303D"/>
    <w:rsid w:val="008049F5"/>
    <w:rsid w:val="00805A30"/>
    <w:rsid w:val="00805AF2"/>
    <w:rsid w:val="008066DB"/>
    <w:rsid w:val="00810764"/>
    <w:rsid w:val="00810F04"/>
    <w:rsid w:val="00815788"/>
    <w:rsid w:val="0081750B"/>
    <w:rsid w:val="00817865"/>
    <w:rsid w:val="008203BC"/>
    <w:rsid w:val="0082148D"/>
    <w:rsid w:val="00821507"/>
    <w:rsid w:val="008216E7"/>
    <w:rsid w:val="0082501F"/>
    <w:rsid w:val="008259ED"/>
    <w:rsid w:val="00825BE6"/>
    <w:rsid w:val="008276B4"/>
    <w:rsid w:val="008306D9"/>
    <w:rsid w:val="00831927"/>
    <w:rsid w:val="00834171"/>
    <w:rsid w:val="008350CC"/>
    <w:rsid w:val="00836DF6"/>
    <w:rsid w:val="00837288"/>
    <w:rsid w:val="00837403"/>
    <w:rsid w:val="00841BD3"/>
    <w:rsid w:val="0084273D"/>
    <w:rsid w:val="00844E3F"/>
    <w:rsid w:val="00845A83"/>
    <w:rsid w:val="00845F16"/>
    <w:rsid w:val="00846BB9"/>
    <w:rsid w:val="00851279"/>
    <w:rsid w:val="00854D1C"/>
    <w:rsid w:val="00856548"/>
    <w:rsid w:val="00860310"/>
    <w:rsid w:val="008612E6"/>
    <w:rsid w:val="008622AF"/>
    <w:rsid w:val="0086271C"/>
    <w:rsid w:val="00864473"/>
    <w:rsid w:val="008649D5"/>
    <w:rsid w:val="00865448"/>
    <w:rsid w:val="0086556D"/>
    <w:rsid w:val="00867490"/>
    <w:rsid w:val="00870BCA"/>
    <w:rsid w:val="008712BB"/>
    <w:rsid w:val="008712BE"/>
    <w:rsid w:val="00873A86"/>
    <w:rsid w:val="00873EEF"/>
    <w:rsid w:val="00875ECB"/>
    <w:rsid w:val="008767BF"/>
    <w:rsid w:val="0087717C"/>
    <w:rsid w:val="00880996"/>
    <w:rsid w:val="00881A74"/>
    <w:rsid w:val="00882870"/>
    <w:rsid w:val="008830E7"/>
    <w:rsid w:val="0088334C"/>
    <w:rsid w:val="00884972"/>
    <w:rsid w:val="00886EA9"/>
    <w:rsid w:val="0089022C"/>
    <w:rsid w:val="00890EDE"/>
    <w:rsid w:val="0089226D"/>
    <w:rsid w:val="00892B38"/>
    <w:rsid w:val="00893CDA"/>
    <w:rsid w:val="00894A79"/>
    <w:rsid w:val="00894FB2"/>
    <w:rsid w:val="008958A1"/>
    <w:rsid w:val="00895DA6"/>
    <w:rsid w:val="008A0C1E"/>
    <w:rsid w:val="008A0DB2"/>
    <w:rsid w:val="008A1741"/>
    <w:rsid w:val="008A2484"/>
    <w:rsid w:val="008A5036"/>
    <w:rsid w:val="008A52F3"/>
    <w:rsid w:val="008A5C3C"/>
    <w:rsid w:val="008A5D70"/>
    <w:rsid w:val="008A61D9"/>
    <w:rsid w:val="008A77FB"/>
    <w:rsid w:val="008B02A0"/>
    <w:rsid w:val="008B0540"/>
    <w:rsid w:val="008B0A97"/>
    <w:rsid w:val="008B1565"/>
    <w:rsid w:val="008B1C14"/>
    <w:rsid w:val="008B3531"/>
    <w:rsid w:val="008B372F"/>
    <w:rsid w:val="008B3C70"/>
    <w:rsid w:val="008B5755"/>
    <w:rsid w:val="008B5886"/>
    <w:rsid w:val="008B68E2"/>
    <w:rsid w:val="008B6C1B"/>
    <w:rsid w:val="008C0651"/>
    <w:rsid w:val="008C0C9B"/>
    <w:rsid w:val="008C26D9"/>
    <w:rsid w:val="008C3962"/>
    <w:rsid w:val="008C4CDF"/>
    <w:rsid w:val="008C5FA9"/>
    <w:rsid w:val="008C6D50"/>
    <w:rsid w:val="008C7167"/>
    <w:rsid w:val="008C7503"/>
    <w:rsid w:val="008C7F06"/>
    <w:rsid w:val="008D0AF1"/>
    <w:rsid w:val="008D1617"/>
    <w:rsid w:val="008D2C80"/>
    <w:rsid w:val="008D330F"/>
    <w:rsid w:val="008D48C1"/>
    <w:rsid w:val="008E19F3"/>
    <w:rsid w:val="008E278B"/>
    <w:rsid w:val="008E4506"/>
    <w:rsid w:val="008E6315"/>
    <w:rsid w:val="008E70BC"/>
    <w:rsid w:val="008F00EE"/>
    <w:rsid w:val="008F0480"/>
    <w:rsid w:val="008F07FC"/>
    <w:rsid w:val="008F0F45"/>
    <w:rsid w:val="008F114E"/>
    <w:rsid w:val="008F11E0"/>
    <w:rsid w:val="008F17C8"/>
    <w:rsid w:val="008F1D48"/>
    <w:rsid w:val="008F2649"/>
    <w:rsid w:val="008F3EA7"/>
    <w:rsid w:val="008F3FD1"/>
    <w:rsid w:val="008F4816"/>
    <w:rsid w:val="008F78BC"/>
    <w:rsid w:val="008F7B63"/>
    <w:rsid w:val="008F7D6A"/>
    <w:rsid w:val="00901C86"/>
    <w:rsid w:val="0090206E"/>
    <w:rsid w:val="00903603"/>
    <w:rsid w:val="0090366C"/>
    <w:rsid w:val="009054CB"/>
    <w:rsid w:val="009059DF"/>
    <w:rsid w:val="009066B4"/>
    <w:rsid w:val="00910306"/>
    <w:rsid w:val="00911116"/>
    <w:rsid w:val="00911757"/>
    <w:rsid w:val="00911783"/>
    <w:rsid w:val="00911F8D"/>
    <w:rsid w:val="00912F94"/>
    <w:rsid w:val="00917147"/>
    <w:rsid w:val="009171BC"/>
    <w:rsid w:val="00920D1B"/>
    <w:rsid w:val="00920F28"/>
    <w:rsid w:val="009215E5"/>
    <w:rsid w:val="00921B3A"/>
    <w:rsid w:val="00921E6F"/>
    <w:rsid w:val="0092497E"/>
    <w:rsid w:val="0092590B"/>
    <w:rsid w:val="00925BF3"/>
    <w:rsid w:val="00925E60"/>
    <w:rsid w:val="00925FF4"/>
    <w:rsid w:val="009262FB"/>
    <w:rsid w:val="009264B3"/>
    <w:rsid w:val="00927CF9"/>
    <w:rsid w:val="00931E4C"/>
    <w:rsid w:val="00932AC6"/>
    <w:rsid w:val="00933791"/>
    <w:rsid w:val="00934957"/>
    <w:rsid w:val="009355E6"/>
    <w:rsid w:val="00935AA7"/>
    <w:rsid w:val="009365E0"/>
    <w:rsid w:val="00936E16"/>
    <w:rsid w:val="0093789F"/>
    <w:rsid w:val="00941467"/>
    <w:rsid w:val="00942116"/>
    <w:rsid w:val="00942BA2"/>
    <w:rsid w:val="00942DDA"/>
    <w:rsid w:val="009432B7"/>
    <w:rsid w:val="00943C7A"/>
    <w:rsid w:val="00944C86"/>
    <w:rsid w:val="00944C97"/>
    <w:rsid w:val="0094684E"/>
    <w:rsid w:val="0094733D"/>
    <w:rsid w:val="00947C02"/>
    <w:rsid w:val="009500B4"/>
    <w:rsid w:val="00950BE6"/>
    <w:rsid w:val="00950FD0"/>
    <w:rsid w:val="00951163"/>
    <w:rsid w:val="009522A6"/>
    <w:rsid w:val="009536E4"/>
    <w:rsid w:val="00953A06"/>
    <w:rsid w:val="00953ED0"/>
    <w:rsid w:val="00955A8B"/>
    <w:rsid w:val="00957543"/>
    <w:rsid w:val="00957DE8"/>
    <w:rsid w:val="00960ECB"/>
    <w:rsid w:val="009615D6"/>
    <w:rsid w:val="009621F0"/>
    <w:rsid w:val="00963128"/>
    <w:rsid w:val="00964558"/>
    <w:rsid w:val="00966093"/>
    <w:rsid w:val="00966C7A"/>
    <w:rsid w:val="00967855"/>
    <w:rsid w:val="00971CD1"/>
    <w:rsid w:val="00974709"/>
    <w:rsid w:val="00974876"/>
    <w:rsid w:val="00974EDF"/>
    <w:rsid w:val="009751A0"/>
    <w:rsid w:val="009801AE"/>
    <w:rsid w:val="00980736"/>
    <w:rsid w:val="00980A89"/>
    <w:rsid w:val="00980D8D"/>
    <w:rsid w:val="0098121E"/>
    <w:rsid w:val="0098136D"/>
    <w:rsid w:val="00981A39"/>
    <w:rsid w:val="00982D56"/>
    <w:rsid w:val="0098319A"/>
    <w:rsid w:val="00983229"/>
    <w:rsid w:val="00983DBF"/>
    <w:rsid w:val="00985441"/>
    <w:rsid w:val="00987097"/>
    <w:rsid w:val="009879B6"/>
    <w:rsid w:val="00990923"/>
    <w:rsid w:val="00991123"/>
    <w:rsid w:val="00991752"/>
    <w:rsid w:val="00991CAB"/>
    <w:rsid w:val="00993D00"/>
    <w:rsid w:val="00995681"/>
    <w:rsid w:val="00997740"/>
    <w:rsid w:val="009A1BB1"/>
    <w:rsid w:val="009A1E48"/>
    <w:rsid w:val="009A3A9C"/>
    <w:rsid w:val="009A4C2A"/>
    <w:rsid w:val="009A632B"/>
    <w:rsid w:val="009A79CD"/>
    <w:rsid w:val="009B046C"/>
    <w:rsid w:val="009B13FA"/>
    <w:rsid w:val="009B1E2D"/>
    <w:rsid w:val="009B311D"/>
    <w:rsid w:val="009B57C7"/>
    <w:rsid w:val="009B5954"/>
    <w:rsid w:val="009C44F9"/>
    <w:rsid w:val="009C462D"/>
    <w:rsid w:val="009C47E6"/>
    <w:rsid w:val="009C4855"/>
    <w:rsid w:val="009C59FB"/>
    <w:rsid w:val="009C62A0"/>
    <w:rsid w:val="009C6F3B"/>
    <w:rsid w:val="009D075C"/>
    <w:rsid w:val="009D0A74"/>
    <w:rsid w:val="009D1467"/>
    <w:rsid w:val="009D29AC"/>
    <w:rsid w:val="009D31CC"/>
    <w:rsid w:val="009D328D"/>
    <w:rsid w:val="009D37E9"/>
    <w:rsid w:val="009D4E62"/>
    <w:rsid w:val="009D69C8"/>
    <w:rsid w:val="009D7533"/>
    <w:rsid w:val="009E067B"/>
    <w:rsid w:val="009E0B8F"/>
    <w:rsid w:val="009E11D1"/>
    <w:rsid w:val="009E1BC5"/>
    <w:rsid w:val="009E214D"/>
    <w:rsid w:val="009E2CE0"/>
    <w:rsid w:val="009E2E82"/>
    <w:rsid w:val="009E4FA6"/>
    <w:rsid w:val="009E6017"/>
    <w:rsid w:val="009E7394"/>
    <w:rsid w:val="009E7D93"/>
    <w:rsid w:val="009F3C34"/>
    <w:rsid w:val="009F42E1"/>
    <w:rsid w:val="009F462C"/>
    <w:rsid w:val="009F5C33"/>
    <w:rsid w:val="009F685D"/>
    <w:rsid w:val="009F718C"/>
    <w:rsid w:val="009F7C01"/>
    <w:rsid w:val="00A00635"/>
    <w:rsid w:val="00A018B8"/>
    <w:rsid w:val="00A01F68"/>
    <w:rsid w:val="00A026F0"/>
    <w:rsid w:val="00A039F4"/>
    <w:rsid w:val="00A03EAC"/>
    <w:rsid w:val="00A045AB"/>
    <w:rsid w:val="00A04DBB"/>
    <w:rsid w:val="00A07EA0"/>
    <w:rsid w:val="00A100EE"/>
    <w:rsid w:val="00A117D8"/>
    <w:rsid w:val="00A11CA6"/>
    <w:rsid w:val="00A139C9"/>
    <w:rsid w:val="00A13D63"/>
    <w:rsid w:val="00A1793E"/>
    <w:rsid w:val="00A200C4"/>
    <w:rsid w:val="00A20C49"/>
    <w:rsid w:val="00A20D90"/>
    <w:rsid w:val="00A21B38"/>
    <w:rsid w:val="00A22873"/>
    <w:rsid w:val="00A22932"/>
    <w:rsid w:val="00A22A0F"/>
    <w:rsid w:val="00A23731"/>
    <w:rsid w:val="00A249BC"/>
    <w:rsid w:val="00A24CCB"/>
    <w:rsid w:val="00A26706"/>
    <w:rsid w:val="00A269CA"/>
    <w:rsid w:val="00A26CDE"/>
    <w:rsid w:val="00A27904"/>
    <w:rsid w:val="00A27D49"/>
    <w:rsid w:val="00A27DE6"/>
    <w:rsid w:val="00A3160D"/>
    <w:rsid w:val="00A318FA"/>
    <w:rsid w:val="00A336EE"/>
    <w:rsid w:val="00A33F46"/>
    <w:rsid w:val="00A3427E"/>
    <w:rsid w:val="00A3487F"/>
    <w:rsid w:val="00A359AC"/>
    <w:rsid w:val="00A368D3"/>
    <w:rsid w:val="00A36E00"/>
    <w:rsid w:val="00A40F83"/>
    <w:rsid w:val="00A410FB"/>
    <w:rsid w:val="00A41413"/>
    <w:rsid w:val="00A42CC4"/>
    <w:rsid w:val="00A431E6"/>
    <w:rsid w:val="00A433D7"/>
    <w:rsid w:val="00A436E8"/>
    <w:rsid w:val="00A45FB1"/>
    <w:rsid w:val="00A469FA"/>
    <w:rsid w:val="00A46A0F"/>
    <w:rsid w:val="00A46CCC"/>
    <w:rsid w:val="00A46D0F"/>
    <w:rsid w:val="00A47996"/>
    <w:rsid w:val="00A5021D"/>
    <w:rsid w:val="00A51CFE"/>
    <w:rsid w:val="00A5204D"/>
    <w:rsid w:val="00A52903"/>
    <w:rsid w:val="00A52E50"/>
    <w:rsid w:val="00A56E77"/>
    <w:rsid w:val="00A56F3C"/>
    <w:rsid w:val="00A60811"/>
    <w:rsid w:val="00A61605"/>
    <w:rsid w:val="00A61C52"/>
    <w:rsid w:val="00A6536E"/>
    <w:rsid w:val="00A6589D"/>
    <w:rsid w:val="00A65F97"/>
    <w:rsid w:val="00A727D5"/>
    <w:rsid w:val="00A72827"/>
    <w:rsid w:val="00A72DD7"/>
    <w:rsid w:val="00A73A10"/>
    <w:rsid w:val="00A73B04"/>
    <w:rsid w:val="00A76C13"/>
    <w:rsid w:val="00A81103"/>
    <w:rsid w:val="00A8217D"/>
    <w:rsid w:val="00A824AD"/>
    <w:rsid w:val="00A8442D"/>
    <w:rsid w:val="00A84FD0"/>
    <w:rsid w:val="00A8523E"/>
    <w:rsid w:val="00A8677B"/>
    <w:rsid w:val="00A908A8"/>
    <w:rsid w:val="00A913C5"/>
    <w:rsid w:val="00A92E6D"/>
    <w:rsid w:val="00A92E79"/>
    <w:rsid w:val="00A950B6"/>
    <w:rsid w:val="00A95D45"/>
    <w:rsid w:val="00AA0BF3"/>
    <w:rsid w:val="00AA1BC5"/>
    <w:rsid w:val="00AA2F29"/>
    <w:rsid w:val="00AA32E6"/>
    <w:rsid w:val="00AA3EA8"/>
    <w:rsid w:val="00AA446A"/>
    <w:rsid w:val="00AA46C8"/>
    <w:rsid w:val="00AA4D58"/>
    <w:rsid w:val="00AA68C4"/>
    <w:rsid w:val="00AA7449"/>
    <w:rsid w:val="00AB03C8"/>
    <w:rsid w:val="00AB0795"/>
    <w:rsid w:val="00AB169F"/>
    <w:rsid w:val="00AB25DF"/>
    <w:rsid w:val="00AB3E33"/>
    <w:rsid w:val="00AB41C1"/>
    <w:rsid w:val="00AB4CF2"/>
    <w:rsid w:val="00AB4DAA"/>
    <w:rsid w:val="00AB5831"/>
    <w:rsid w:val="00AB6CCA"/>
    <w:rsid w:val="00AB7535"/>
    <w:rsid w:val="00AC223F"/>
    <w:rsid w:val="00AC33B1"/>
    <w:rsid w:val="00AC5A6D"/>
    <w:rsid w:val="00AC6028"/>
    <w:rsid w:val="00AC6C3D"/>
    <w:rsid w:val="00AD0199"/>
    <w:rsid w:val="00AD01AA"/>
    <w:rsid w:val="00AD098E"/>
    <w:rsid w:val="00AD12A8"/>
    <w:rsid w:val="00AD1736"/>
    <w:rsid w:val="00AD2234"/>
    <w:rsid w:val="00AD577E"/>
    <w:rsid w:val="00AE023F"/>
    <w:rsid w:val="00AE2B35"/>
    <w:rsid w:val="00AE4BFB"/>
    <w:rsid w:val="00AE60D9"/>
    <w:rsid w:val="00AF0DA3"/>
    <w:rsid w:val="00AF3577"/>
    <w:rsid w:val="00AF35F9"/>
    <w:rsid w:val="00AF6B43"/>
    <w:rsid w:val="00B007EA"/>
    <w:rsid w:val="00B00C7D"/>
    <w:rsid w:val="00B016E2"/>
    <w:rsid w:val="00B01CAB"/>
    <w:rsid w:val="00B03979"/>
    <w:rsid w:val="00B0424C"/>
    <w:rsid w:val="00B05288"/>
    <w:rsid w:val="00B05B77"/>
    <w:rsid w:val="00B05C7D"/>
    <w:rsid w:val="00B113B3"/>
    <w:rsid w:val="00B12636"/>
    <w:rsid w:val="00B12BC1"/>
    <w:rsid w:val="00B134CC"/>
    <w:rsid w:val="00B15D57"/>
    <w:rsid w:val="00B16347"/>
    <w:rsid w:val="00B17D6E"/>
    <w:rsid w:val="00B2103B"/>
    <w:rsid w:val="00B22398"/>
    <w:rsid w:val="00B2435E"/>
    <w:rsid w:val="00B24A6F"/>
    <w:rsid w:val="00B254E2"/>
    <w:rsid w:val="00B30AAE"/>
    <w:rsid w:val="00B30E1F"/>
    <w:rsid w:val="00B32FC2"/>
    <w:rsid w:val="00B34434"/>
    <w:rsid w:val="00B346C3"/>
    <w:rsid w:val="00B371D4"/>
    <w:rsid w:val="00B4005C"/>
    <w:rsid w:val="00B40097"/>
    <w:rsid w:val="00B405E4"/>
    <w:rsid w:val="00B4227E"/>
    <w:rsid w:val="00B42445"/>
    <w:rsid w:val="00B42B7E"/>
    <w:rsid w:val="00B42C1F"/>
    <w:rsid w:val="00B4471C"/>
    <w:rsid w:val="00B451A6"/>
    <w:rsid w:val="00B467DF"/>
    <w:rsid w:val="00B46C13"/>
    <w:rsid w:val="00B50853"/>
    <w:rsid w:val="00B51411"/>
    <w:rsid w:val="00B517BD"/>
    <w:rsid w:val="00B52A99"/>
    <w:rsid w:val="00B5566F"/>
    <w:rsid w:val="00B56D6E"/>
    <w:rsid w:val="00B57532"/>
    <w:rsid w:val="00B625E4"/>
    <w:rsid w:val="00B62B24"/>
    <w:rsid w:val="00B62C48"/>
    <w:rsid w:val="00B64347"/>
    <w:rsid w:val="00B6474D"/>
    <w:rsid w:val="00B64D9A"/>
    <w:rsid w:val="00B65942"/>
    <w:rsid w:val="00B65A47"/>
    <w:rsid w:val="00B65DC6"/>
    <w:rsid w:val="00B66777"/>
    <w:rsid w:val="00B67AC2"/>
    <w:rsid w:val="00B710F2"/>
    <w:rsid w:val="00B72292"/>
    <w:rsid w:val="00B722DE"/>
    <w:rsid w:val="00B751E3"/>
    <w:rsid w:val="00B75BA6"/>
    <w:rsid w:val="00B75F53"/>
    <w:rsid w:val="00B76C44"/>
    <w:rsid w:val="00B77C32"/>
    <w:rsid w:val="00B77F71"/>
    <w:rsid w:val="00B80080"/>
    <w:rsid w:val="00B804A7"/>
    <w:rsid w:val="00B8184A"/>
    <w:rsid w:val="00B82283"/>
    <w:rsid w:val="00B828D8"/>
    <w:rsid w:val="00B83F87"/>
    <w:rsid w:val="00B861D8"/>
    <w:rsid w:val="00B8674E"/>
    <w:rsid w:val="00B86A35"/>
    <w:rsid w:val="00B87CDC"/>
    <w:rsid w:val="00B910C1"/>
    <w:rsid w:val="00B94051"/>
    <w:rsid w:val="00B94211"/>
    <w:rsid w:val="00B9518C"/>
    <w:rsid w:val="00B97EB8"/>
    <w:rsid w:val="00BA0B0B"/>
    <w:rsid w:val="00BA1199"/>
    <w:rsid w:val="00BA2CA4"/>
    <w:rsid w:val="00BA2EFA"/>
    <w:rsid w:val="00BA3729"/>
    <w:rsid w:val="00BA383C"/>
    <w:rsid w:val="00BA3DBC"/>
    <w:rsid w:val="00BA57C8"/>
    <w:rsid w:val="00BA63BF"/>
    <w:rsid w:val="00BA6538"/>
    <w:rsid w:val="00BA707A"/>
    <w:rsid w:val="00BA7E91"/>
    <w:rsid w:val="00BB1157"/>
    <w:rsid w:val="00BB1932"/>
    <w:rsid w:val="00BB1AFB"/>
    <w:rsid w:val="00BB1CDF"/>
    <w:rsid w:val="00BB27AE"/>
    <w:rsid w:val="00BB2DA2"/>
    <w:rsid w:val="00BB56DC"/>
    <w:rsid w:val="00BB77E8"/>
    <w:rsid w:val="00BC07E5"/>
    <w:rsid w:val="00BC0DBF"/>
    <w:rsid w:val="00BC0EF7"/>
    <w:rsid w:val="00BC35AF"/>
    <w:rsid w:val="00BC4170"/>
    <w:rsid w:val="00BD3968"/>
    <w:rsid w:val="00BD43BA"/>
    <w:rsid w:val="00BD7445"/>
    <w:rsid w:val="00BE0C4F"/>
    <w:rsid w:val="00BE183D"/>
    <w:rsid w:val="00BE1EA0"/>
    <w:rsid w:val="00BE3601"/>
    <w:rsid w:val="00BE3962"/>
    <w:rsid w:val="00BE3EBC"/>
    <w:rsid w:val="00BE4373"/>
    <w:rsid w:val="00BE46FC"/>
    <w:rsid w:val="00BE7F15"/>
    <w:rsid w:val="00BF14C0"/>
    <w:rsid w:val="00BF14C4"/>
    <w:rsid w:val="00BF15C5"/>
    <w:rsid w:val="00BF24C2"/>
    <w:rsid w:val="00BF2922"/>
    <w:rsid w:val="00BF340F"/>
    <w:rsid w:val="00BF361C"/>
    <w:rsid w:val="00BF39FE"/>
    <w:rsid w:val="00BF5D7A"/>
    <w:rsid w:val="00BF63E2"/>
    <w:rsid w:val="00BF7AF1"/>
    <w:rsid w:val="00C01044"/>
    <w:rsid w:val="00C01C2E"/>
    <w:rsid w:val="00C02D33"/>
    <w:rsid w:val="00C04625"/>
    <w:rsid w:val="00C04B53"/>
    <w:rsid w:val="00C0556D"/>
    <w:rsid w:val="00C1152F"/>
    <w:rsid w:val="00C121D8"/>
    <w:rsid w:val="00C1232C"/>
    <w:rsid w:val="00C12EE1"/>
    <w:rsid w:val="00C1318A"/>
    <w:rsid w:val="00C134D2"/>
    <w:rsid w:val="00C139BB"/>
    <w:rsid w:val="00C146E2"/>
    <w:rsid w:val="00C17A78"/>
    <w:rsid w:val="00C21C38"/>
    <w:rsid w:val="00C244CD"/>
    <w:rsid w:val="00C277D7"/>
    <w:rsid w:val="00C27C6B"/>
    <w:rsid w:val="00C31507"/>
    <w:rsid w:val="00C33D70"/>
    <w:rsid w:val="00C33F6B"/>
    <w:rsid w:val="00C3594D"/>
    <w:rsid w:val="00C36442"/>
    <w:rsid w:val="00C36465"/>
    <w:rsid w:val="00C36EED"/>
    <w:rsid w:val="00C400CE"/>
    <w:rsid w:val="00C4068C"/>
    <w:rsid w:val="00C410FD"/>
    <w:rsid w:val="00C435A0"/>
    <w:rsid w:val="00C44804"/>
    <w:rsid w:val="00C45546"/>
    <w:rsid w:val="00C457DE"/>
    <w:rsid w:val="00C47DD3"/>
    <w:rsid w:val="00C5172D"/>
    <w:rsid w:val="00C5316F"/>
    <w:rsid w:val="00C53562"/>
    <w:rsid w:val="00C539FB"/>
    <w:rsid w:val="00C56EA7"/>
    <w:rsid w:val="00C56EBC"/>
    <w:rsid w:val="00C5724C"/>
    <w:rsid w:val="00C57FF3"/>
    <w:rsid w:val="00C6066C"/>
    <w:rsid w:val="00C63A00"/>
    <w:rsid w:val="00C64536"/>
    <w:rsid w:val="00C66AA3"/>
    <w:rsid w:val="00C66E57"/>
    <w:rsid w:val="00C724D7"/>
    <w:rsid w:val="00C74150"/>
    <w:rsid w:val="00C746C4"/>
    <w:rsid w:val="00C75594"/>
    <w:rsid w:val="00C75D1B"/>
    <w:rsid w:val="00C76D07"/>
    <w:rsid w:val="00C82C0A"/>
    <w:rsid w:val="00C85982"/>
    <w:rsid w:val="00C87857"/>
    <w:rsid w:val="00C917E3"/>
    <w:rsid w:val="00C91825"/>
    <w:rsid w:val="00C91EBC"/>
    <w:rsid w:val="00C92DF8"/>
    <w:rsid w:val="00C92F24"/>
    <w:rsid w:val="00C92FB0"/>
    <w:rsid w:val="00C949E8"/>
    <w:rsid w:val="00C96974"/>
    <w:rsid w:val="00C97879"/>
    <w:rsid w:val="00CA0466"/>
    <w:rsid w:val="00CA0C8A"/>
    <w:rsid w:val="00CA246D"/>
    <w:rsid w:val="00CA2829"/>
    <w:rsid w:val="00CA4EAE"/>
    <w:rsid w:val="00CA50D9"/>
    <w:rsid w:val="00CB0205"/>
    <w:rsid w:val="00CB0601"/>
    <w:rsid w:val="00CB1FEA"/>
    <w:rsid w:val="00CB3054"/>
    <w:rsid w:val="00CB5636"/>
    <w:rsid w:val="00CB5F30"/>
    <w:rsid w:val="00CB6513"/>
    <w:rsid w:val="00CB7EA8"/>
    <w:rsid w:val="00CC1242"/>
    <w:rsid w:val="00CC1D36"/>
    <w:rsid w:val="00CC380C"/>
    <w:rsid w:val="00CC3CB2"/>
    <w:rsid w:val="00CC3EE5"/>
    <w:rsid w:val="00CC3FDF"/>
    <w:rsid w:val="00CC5224"/>
    <w:rsid w:val="00CC5EE1"/>
    <w:rsid w:val="00CC6E47"/>
    <w:rsid w:val="00CD0CF2"/>
    <w:rsid w:val="00CD1346"/>
    <w:rsid w:val="00CD16AD"/>
    <w:rsid w:val="00CD2344"/>
    <w:rsid w:val="00CD333B"/>
    <w:rsid w:val="00CD713C"/>
    <w:rsid w:val="00CE3E74"/>
    <w:rsid w:val="00CE425C"/>
    <w:rsid w:val="00CE58AC"/>
    <w:rsid w:val="00CE660F"/>
    <w:rsid w:val="00CE7194"/>
    <w:rsid w:val="00CF1F46"/>
    <w:rsid w:val="00CF2448"/>
    <w:rsid w:val="00CF276A"/>
    <w:rsid w:val="00CF3EC0"/>
    <w:rsid w:val="00CF5A80"/>
    <w:rsid w:val="00CF5DCA"/>
    <w:rsid w:val="00CF61EF"/>
    <w:rsid w:val="00CF764D"/>
    <w:rsid w:val="00D00A88"/>
    <w:rsid w:val="00D02756"/>
    <w:rsid w:val="00D041C1"/>
    <w:rsid w:val="00D045EE"/>
    <w:rsid w:val="00D05091"/>
    <w:rsid w:val="00D05AD8"/>
    <w:rsid w:val="00D06106"/>
    <w:rsid w:val="00D06780"/>
    <w:rsid w:val="00D067E8"/>
    <w:rsid w:val="00D10CA6"/>
    <w:rsid w:val="00D10F21"/>
    <w:rsid w:val="00D1169C"/>
    <w:rsid w:val="00D119E1"/>
    <w:rsid w:val="00D11E00"/>
    <w:rsid w:val="00D134CF"/>
    <w:rsid w:val="00D1573B"/>
    <w:rsid w:val="00D16FED"/>
    <w:rsid w:val="00D22A50"/>
    <w:rsid w:val="00D22FE6"/>
    <w:rsid w:val="00D24806"/>
    <w:rsid w:val="00D30802"/>
    <w:rsid w:val="00D330D7"/>
    <w:rsid w:val="00D33815"/>
    <w:rsid w:val="00D34040"/>
    <w:rsid w:val="00D34E69"/>
    <w:rsid w:val="00D367DB"/>
    <w:rsid w:val="00D36C78"/>
    <w:rsid w:val="00D375EE"/>
    <w:rsid w:val="00D378C3"/>
    <w:rsid w:val="00D42F1C"/>
    <w:rsid w:val="00D43090"/>
    <w:rsid w:val="00D454A7"/>
    <w:rsid w:val="00D45B19"/>
    <w:rsid w:val="00D46C09"/>
    <w:rsid w:val="00D5014C"/>
    <w:rsid w:val="00D50326"/>
    <w:rsid w:val="00D50D57"/>
    <w:rsid w:val="00D50D5C"/>
    <w:rsid w:val="00D5522E"/>
    <w:rsid w:val="00D55AE8"/>
    <w:rsid w:val="00D56056"/>
    <w:rsid w:val="00D56A20"/>
    <w:rsid w:val="00D6085F"/>
    <w:rsid w:val="00D62699"/>
    <w:rsid w:val="00D64EF2"/>
    <w:rsid w:val="00D65BB6"/>
    <w:rsid w:val="00D679BC"/>
    <w:rsid w:val="00D71E23"/>
    <w:rsid w:val="00D72B71"/>
    <w:rsid w:val="00D72C93"/>
    <w:rsid w:val="00D73ED9"/>
    <w:rsid w:val="00D759A4"/>
    <w:rsid w:val="00D770A8"/>
    <w:rsid w:val="00D778E9"/>
    <w:rsid w:val="00D77A8C"/>
    <w:rsid w:val="00D80ADE"/>
    <w:rsid w:val="00D812BF"/>
    <w:rsid w:val="00D81AE0"/>
    <w:rsid w:val="00D8242B"/>
    <w:rsid w:val="00D82620"/>
    <w:rsid w:val="00D827C6"/>
    <w:rsid w:val="00D8365E"/>
    <w:rsid w:val="00D847A3"/>
    <w:rsid w:val="00D850F9"/>
    <w:rsid w:val="00D85707"/>
    <w:rsid w:val="00D85981"/>
    <w:rsid w:val="00D85E47"/>
    <w:rsid w:val="00D866A3"/>
    <w:rsid w:val="00D86783"/>
    <w:rsid w:val="00D91E46"/>
    <w:rsid w:val="00D93336"/>
    <w:rsid w:val="00D934F5"/>
    <w:rsid w:val="00D945B5"/>
    <w:rsid w:val="00D95719"/>
    <w:rsid w:val="00D95A97"/>
    <w:rsid w:val="00D96C72"/>
    <w:rsid w:val="00D9725F"/>
    <w:rsid w:val="00DA01B1"/>
    <w:rsid w:val="00DA10D8"/>
    <w:rsid w:val="00DA11A2"/>
    <w:rsid w:val="00DA14ED"/>
    <w:rsid w:val="00DA1F57"/>
    <w:rsid w:val="00DA26D6"/>
    <w:rsid w:val="00DA3EA0"/>
    <w:rsid w:val="00DB0805"/>
    <w:rsid w:val="00DB1F89"/>
    <w:rsid w:val="00DB28BA"/>
    <w:rsid w:val="00DB2EF1"/>
    <w:rsid w:val="00DB3DE1"/>
    <w:rsid w:val="00DB54CB"/>
    <w:rsid w:val="00DB5C13"/>
    <w:rsid w:val="00DB5DA0"/>
    <w:rsid w:val="00DB657D"/>
    <w:rsid w:val="00DB6792"/>
    <w:rsid w:val="00DB716C"/>
    <w:rsid w:val="00DB79FE"/>
    <w:rsid w:val="00DC146F"/>
    <w:rsid w:val="00DC1916"/>
    <w:rsid w:val="00DC20DE"/>
    <w:rsid w:val="00DC29AE"/>
    <w:rsid w:val="00DC4387"/>
    <w:rsid w:val="00DC441A"/>
    <w:rsid w:val="00DC56AA"/>
    <w:rsid w:val="00DC5C85"/>
    <w:rsid w:val="00DC7B4C"/>
    <w:rsid w:val="00DC7C5D"/>
    <w:rsid w:val="00DD13C9"/>
    <w:rsid w:val="00DD1B67"/>
    <w:rsid w:val="00DD4178"/>
    <w:rsid w:val="00DD4236"/>
    <w:rsid w:val="00DD44F1"/>
    <w:rsid w:val="00DD4EA6"/>
    <w:rsid w:val="00DD5A57"/>
    <w:rsid w:val="00DD5F92"/>
    <w:rsid w:val="00DD6682"/>
    <w:rsid w:val="00DD6957"/>
    <w:rsid w:val="00DD6CEC"/>
    <w:rsid w:val="00DD6E7A"/>
    <w:rsid w:val="00DD7701"/>
    <w:rsid w:val="00DD7F0D"/>
    <w:rsid w:val="00DE0266"/>
    <w:rsid w:val="00DE08A3"/>
    <w:rsid w:val="00DE134D"/>
    <w:rsid w:val="00DE3067"/>
    <w:rsid w:val="00DE4B81"/>
    <w:rsid w:val="00DE5D8F"/>
    <w:rsid w:val="00DE6EE4"/>
    <w:rsid w:val="00DE755E"/>
    <w:rsid w:val="00DE782E"/>
    <w:rsid w:val="00DF03CF"/>
    <w:rsid w:val="00DF1731"/>
    <w:rsid w:val="00DF2F79"/>
    <w:rsid w:val="00DF3342"/>
    <w:rsid w:val="00DF3EEE"/>
    <w:rsid w:val="00DF4898"/>
    <w:rsid w:val="00DF49F9"/>
    <w:rsid w:val="00DF5F00"/>
    <w:rsid w:val="00DF719A"/>
    <w:rsid w:val="00DF75E1"/>
    <w:rsid w:val="00DF7E01"/>
    <w:rsid w:val="00E027BC"/>
    <w:rsid w:val="00E03A0B"/>
    <w:rsid w:val="00E03D35"/>
    <w:rsid w:val="00E045BE"/>
    <w:rsid w:val="00E0466B"/>
    <w:rsid w:val="00E049D3"/>
    <w:rsid w:val="00E04C9A"/>
    <w:rsid w:val="00E07312"/>
    <w:rsid w:val="00E07C37"/>
    <w:rsid w:val="00E10F0D"/>
    <w:rsid w:val="00E1189C"/>
    <w:rsid w:val="00E13A14"/>
    <w:rsid w:val="00E14EA5"/>
    <w:rsid w:val="00E1705B"/>
    <w:rsid w:val="00E175CB"/>
    <w:rsid w:val="00E2070E"/>
    <w:rsid w:val="00E21133"/>
    <w:rsid w:val="00E223AB"/>
    <w:rsid w:val="00E2327E"/>
    <w:rsid w:val="00E23577"/>
    <w:rsid w:val="00E23642"/>
    <w:rsid w:val="00E23784"/>
    <w:rsid w:val="00E25D4E"/>
    <w:rsid w:val="00E266EF"/>
    <w:rsid w:val="00E326A8"/>
    <w:rsid w:val="00E3545A"/>
    <w:rsid w:val="00E35B9D"/>
    <w:rsid w:val="00E35F89"/>
    <w:rsid w:val="00E4301A"/>
    <w:rsid w:val="00E463C8"/>
    <w:rsid w:val="00E4682C"/>
    <w:rsid w:val="00E47428"/>
    <w:rsid w:val="00E47DA7"/>
    <w:rsid w:val="00E50709"/>
    <w:rsid w:val="00E5171F"/>
    <w:rsid w:val="00E53BB0"/>
    <w:rsid w:val="00E53D0A"/>
    <w:rsid w:val="00E553E3"/>
    <w:rsid w:val="00E56C5D"/>
    <w:rsid w:val="00E56C8E"/>
    <w:rsid w:val="00E5716B"/>
    <w:rsid w:val="00E57991"/>
    <w:rsid w:val="00E57CD7"/>
    <w:rsid w:val="00E57F1F"/>
    <w:rsid w:val="00E6173C"/>
    <w:rsid w:val="00E61CBA"/>
    <w:rsid w:val="00E61CFB"/>
    <w:rsid w:val="00E623D9"/>
    <w:rsid w:val="00E627EF"/>
    <w:rsid w:val="00E63196"/>
    <w:rsid w:val="00E65FDC"/>
    <w:rsid w:val="00E66050"/>
    <w:rsid w:val="00E66B9F"/>
    <w:rsid w:val="00E709A0"/>
    <w:rsid w:val="00E70A6A"/>
    <w:rsid w:val="00E710D6"/>
    <w:rsid w:val="00E71790"/>
    <w:rsid w:val="00E73C28"/>
    <w:rsid w:val="00E73DA4"/>
    <w:rsid w:val="00E75CAC"/>
    <w:rsid w:val="00E76E45"/>
    <w:rsid w:val="00E77422"/>
    <w:rsid w:val="00E777C9"/>
    <w:rsid w:val="00E77C2D"/>
    <w:rsid w:val="00E818A2"/>
    <w:rsid w:val="00E81DA6"/>
    <w:rsid w:val="00E829B2"/>
    <w:rsid w:val="00E82FDD"/>
    <w:rsid w:val="00E83C7D"/>
    <w:rsid w:val="00E84212"/>
    <w:rsid w:val="00E843BB"/>
    <w:rsid w:val="00E86850"/>
    <w:rsid w:val="00E87C8A"/>
    <w:rsid w:val="00E9086C"/>
    <w:rsid w:val="00E90AAA"/>
    <w:rsid w:val="00E91A0F"/>
    <w:rsid w:val="00E91BB8"/>
    <w:rsid w:val="00E923B7"/>
    <w:rsid w:val="00E949E8"/>
    <w:rsid w:val="00E94A71"/>
    <w:rsid w:val="00E94CBF"/>
    <w:rsid w:val="00E9573F"/>
    <w:rsid w:val="00E95FEB"/>
    <w:rsid w:val="00E96F7D"/>
    <w:rsid w:val="00EA03CE"/>
    <w:rsid w:val="00EA0AA6"/>
    <w:rsid w:val="00EA0F0D"/>
    <w:rsid w:val="00EA1F2F"/>
    <w:rsid w:val="00EA23E5"/>
    <w:rsid w:val="00EA27F2"/>
    <w:rsid w:val="00EA2E31"/>
    <w:rsid w:val="00EA4CC5"/>
    <w:rsid w:val="00EA4E2E"/>
    <w:rsid w:val="00EA59FE"/>
    <w:rsid w:val="00EA6998"/>
    <w:rsid w:val="00EA6F9C"/>
    <w:rsid w:val="00EB1E06"/>
    <w:rsid w:val="00EB2417"/>
    <w:rsid w:val="00EB2CCB"/>
    <w:rsid w:val="00EB7A25"/>
    <w:rsid w:val="00EB7F5F"/>
    <w:rsid w:val="00EC0F3E"/>
    <w:rsid w:val="00EC15AA"/>
    <w:rsid w:val="00EC172D"/>
    <w:rsid w:val="00EC1F04"/>
    <w:rsid w:val="00EC33B8"/>
    <w:rsid w:val="00EC5434"/>
    <w:rsid w:val="00EC54C9"/>
    <w:rsid w:val="00EC57A7"/>
    <w:rsid w:val="00EC65C9"/>
    <w:rsid w:val="00ED05A7"/>
    <w:rsid w:val="00ED0817"/>
    <w:rsid w:val="00ED1F70"/>
    <w:rsid w:val="00ED26F0"/>
    <w:rsid w:val="00ED3EA1"/>
    <w:rsid w:val="00ED584B"/>
    <w:rsid w:val="00ED72E9"/>
    <w:rsid w:val="00ED7DD9"/>
    <w:rsid w:val="00EE161E"/>
    <w:rsid w:val="00EE4210"/>
    <w:rsid w:val="00EE445B"/>
    <w:rsid w:val="00EE5B83"/>
    <w:rsid w:val="00EE6F28"/>
    <w:rsid w:val="00EE7576"/>
    <w:rsid w:val="00EE785E"/>
    <w:rsid w:val="00EF1782"/>
    <w:rsid w:val="00EF1CF4"/>
    <w:rsid w:val="00EF28FA"/>
    <w:rsid w:val="00EF2A72"/>
    <w:rsid w:val="00EF2CEA"/>
    <w:rsid w:val="00EF3113"/>
    <w:rsid w:val="00EF3F84"/>
    <w:rsid w:val="00EF4A33"/>
    <w:rsid w:val="00EF7CEF"/>
    <w:rsid w:val="00F022A3"/>
    <w:rsid w:val="00F02BC9"/>
    <w:rsid w:val="00F04B47"/>
    <w:rsid w:val="00F06530"/>
    <w:rsid w:val="00F065B7"/>
    <w:rsid w:val="00F07C51"/>
    <w:rsid w:val="00F10297"/>
    <w:rsid w:val="00F11D51"/>
    <w:rsid w:val="00F12E82"/>
    <w:rsid w:val="00F15669"/>
    <w:rsid w:val="00F157AD"/>
    <w:rsid w:val="00F157BE"/>
    <w:rsid w:val="00F165C7"/>
    <w:rsid w:val="00F16DBF"/>
    <w:rsid w:val="00F17689"/>
    <w:rsid w:val="00F176AC"/>
    <w:rsid w:val="00F209D1"/>
    <w:rsid w:val="00F2150B"/>
    <w:rsid w:val="00F2164E"/>
    <w:rsid w:val="00F2190D"/>
    <w:rsid w:val="00F227AD"/>
    <w:rsid w:val="00F23580"/>
    <w:rsid w:val="00F241CE"/>
    <w:rsid w:val="00F247ED"/>
    <w:rsid w:val="00F25581"/>
    <w:rsid w:val="00F26591"/>
    <w:rsid w:val="00F26F28"/>
    <w:rsid w:val="00F2740A"/>
    <w:rsid w:val="00F2758F"/>
    <w:rsid w:val="00F27714"/>
    <w:rsid w:val="00F2788F"/>
    <w:rsid w:val="00F306B7"/>
    <w:rsid w:val="00F30B0D"/>
    <w:rsid w:val="00F3276E"/>
    <w:rsid w:val="00F3287E"/>
    <w:rsid w:val="00F33D3C"/>
    <w:rsid w:val="00F376A0"/>
    <w:rsid w:val="00F37A91"/>
    <w:rsid w:val="00F37FE0"/>
    <w:rsid w:val="00F408A0"/>
    <w:rsid w:val="00F40E50"/>
    <w:rsid w:val="00F41A4F"/>
    <w:rsid w:val="00F4357B"/>
    <w:rsid w:val="00F44132"/>
    <w:rsid w:val="00F44323"/>
    <w:rsid w:val="00F45CF5"/>
    <w:rsid w:val="00F464BE"/>
    <w:rsid w:val="00F47DB0"/>
    <w:rsid w:val="00F50C3F"/>
    <w:rsid w:val="00F50E34"/>
    <w:rsid w:val="00F51843"/>
    <w:rsid w:val="00F51890"/>
    <w:rsid w:val="00F51AFB"/>
    <w:rsid w:val="00F535BA"/>
    <w:rsid w:val="00F53EF7"/>
    <w:rsid w:val="00F5464B"/>
    <w:rsid w:val="00F54BF2"/>
    <w:rsid w:val="00F54DFF"/>
    <w:rsid w:val="00F55421"/>
    <w:rsid w:val="00F56349"/>
    <w:rsid w:val="00F574D9"/>
    <w:rsid w:val="00F57935"/>
    <w:rsid w:val="00F57A47"/>
    <w:rsid w:val="00F64ACE"/>
    <w:rsid w:val="00F655D0"/>
    <w:rsid w:val="00F70DF6"/>
    <w:rsid w:val="00F729C6"/>
    <w:rsid w:val="00F72CF9"/>
    <w:rsid w:val="00F7427F"/>
    <w:rsid w:val="00F755A4"/>
    <w:rsid w:val="00F765D7"/>
    <w:rsid w:val="00F775AC"/>
    <w:rsid w:val="00F817D5"/>
    <w:rsid w:val="00F82D13"/>
    <w:rsid w:val="00F82FE1"/>
    <w:rsid w:val="00F849FA"/>
    <w:rsid w:val="00F84A31"/>
    <w:rsid w:val="00F85F8D"/>
    <w:rsid w:val="00F8792F"/>
    <w:rsid w:val="00F90719"/>
    <w:rsid w:val="00F91D8A"/>
    <w:rsid w:val="00F9210D"/>
    <w:rsid w:val="00F9214D"/>
    <w:rsid w:val="00F92355"/>
    <w:rsid w:val="00F92E6E"/>
    <w:rsid w:val="00F930A4"/>
    <w:rsid w:val="00F93697"/>
    <w:rsid w:val="00F93963"/>
    <w:rsid w:val="00F94291"/>
    <w:rsid w:val="00F94831"/>
    <w:rsid w:val="00F94C11"/>
    <w:rsid w:val="00F94D2A"/>
    <w:rsid w:val="00F9550F"/>
    <w:rsid w:val="00FA1470"/>
    <w:rsid w:val="00FA298A"/>
    <w:rsid w:val="00FA4031"/>
    <w:rsid w:val="00FA4413"/>
    <w:rsid w:val="00FA46E7"/>
    <w:rsid w:val="00FA49A9"/>
    <w:rsid w:val="00FA4A50"/>
    <w:rsid w:val="00FA5B66"/>
    <w:rsid w:val="00FA6009"/>
    <w:rsid w:val="00FB0636"/>
    <w:rsid w:val="00FB0B9C"/>
    <w:rsid w:val="00FB1F68"/>
    <w:rsid w:val="00FB237B"/>
    <w:rsid w:val="00FB288E"/>
    <w:rsid w:val="00FB2AE8"/>
    <w:rsid w:val="00FB2C33"/>
    <w:rsid w:val="00FB30EB"/>
    <w:rsid w:val="00FB38ED"/>
    <w:rsid w:val="00FB441C"/>
    <w:rsid w:val="00FB457D"/>
    <w:rsid w:val="00FB6148"/>
    <w:rsid w:val="00FB713E"/>
    <w:rsid w:val="00FB7982"/>
    <w:rsid w:val="00FC0046"/>
    <w:rsid w:val="00FC0734"/>
    <w:rsid w:val="00FC0951"/>
    <w:rsid w:val="00FC0FC5"/>
    <w:rsid w:val="00FC4EEF"/>
    <w:rsid w:val="00FC5853"/>
    <w:rsid w:val="00FC588F"/>
    <w:rsid w:val="00FC6879"/>
    <w:rsid w:val="00FD0964"/>
    <w:rsid w:val="00FD24D5"/>
    <w:rsid w:val="00FD429D"/>
    <w:rsid w:val="00FD43C2"/>
    <w:rsid w:val="00FD4855"/>
    <w:rsid w:val="00FD54A7"/>
    <w:rsid w:val="00FD57CC"/>
    <w:rsid w:val="00FE1886"/>
    <w:rsid w:val="00FE190F"/>
    <w:rsid w:val="00FE1947"/>
    <w:rsid w:val="00FE1B30"/>
    <w:rsid w:val="00FE1C75"/>
    <w:rsid w:val="00FE2A30"/>
    <w:rsid w:val="00FE3E2A"/>
    <w:rsid w:val="00FE4417"/>
    <w:rsid w:val="00FE44EF"/>
    <w:rsid w:val="00FE7B44"/>
    <w:rsid w:val="00FE7F02"/>
    <w:rsid w:val="00FF00E1"/>
    <w:rsid w:val="00FF1379"/>
    <w:rsid w:val="00FF1F09"/>
    <w:rsid w:val="00FF24E4"/>
    <w:rsid w:val="00FF3803"/>
    <w:rsid w:val="00FF3D8D"/>
    <w:rsid w:val="00FF5BB0"/>
    <w:rsid w:val="00FF62CC"/>
    <w:rsid w:val="00FF65AB"/>
    <w:rsid w:val="00FF6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1D6FD"/>
  <w15:docId w15:val="{96AF1DCC-B1B0-48C8-B315-AE4C2A9B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erChar">
    <w:name w:val="Header Char"/>
    <w:basedOn w:val="DefaultParagraphFont"/>
    <w:link w:val="Header"/>
    <w:semiHidden/>
    <w:rsid w:val="00BE3EBC"/>
    <w:rPr>
      <w:sz w:val="24"/>
      <w:lang w:eastAsia="en-US"/>
    </w:rPr>
  </w:style>
  <w:style w:type="paragraph" w:customStyle="1" w:styleId="Default">
    <w:name w:val="Default"/>
    <w:rsid w:val="00650197"/>
    <w:pPr>
      <w:autoSpaceDE w:val="0"/>
      <w:autoSpaceDN w:val="0"/>
      <w:adjustRightInd w:val="0"/>
    </w:pPr>
    <w:rPr>
      <w:color w:val="000000"/>
      <w:sz w:val="24"/>
      <w:szCs w:val="24"/>
    </w:rPr>
  </w:style>
  <w:style w:type="character" w:customStyle="1" w:styleId="sssh">
    <w:name w:val="ss_sh"/>
    <w:basedOn w:val="DefaultParagraphFont"/>
    <w:rsid w:val="00C74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672346">
      <w:bodyDiv w:val="1"/>
      <w:marLeft w:val="0"/>
      <w:marRight w:val="0"/>
      <w:marTop w:val="0"/>
      <w:marBottom w:val="0"/>
      <w:divBdr>
        <w:top w:val="none" w:sz="0" w:space="0" w:color="auto"/>
        <w:left w:val="none" w:sz="0" w:space="0" w:color="auto"/>
        <w:bottom w:val="none" w:sz="0" w:space="0" w:color="auto"/>
        <w:right w:val="none" w:sz="0" w:space="0" w:color="auto"/>
      </w:divBdr>
      <w:divsChild>
        <w:div w:id="1910844663">
          <w:blockQuote w:val="1"/>
          <w:marLeft w:val="180"/>
          <w:marRight w:val="18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FF04E473B543CAB19BDF7D1D9ACF93"/>
        <w:category>
          <w:name w:val="General"/>
          <w:gallery w:val="placeholder"/>
        </w:category>
        <w:types>
          <w:type w:val="bbPlcHdr"/>
        </w:types>
        <w:behaviors>
          <w:behavior w:val="content"/>
        </w:behaviors>
        <w:guid w:val="{3A9BC3B8-93CC-4306-BAC5-7466FD8D7F8C}"/>
      </w:docPartPr>
      <w:docPartBody>
        <w:p w:rsidR="00E24A73" w:rsidRDefault="00E24A73">
          <w:pPr>
            <w:pStyle w:val="4BFF04E473B543CAB19BDF7D1D9ACF93"/>
          </w:pPr>
          <w:r>
            <w:rPr>
              <w:rStyle w:val="PlaceholderText"/>
            </w:rPr>
            <w:t>MNC Text</w:t>
          </w:r>
        </w:p>
      </w:docPartBody>
    </w:docPart>
    <w:docPart>
      <w:docPartPr>
        <w:name w:val="2CD844AB6FAB423D96729CA9A06CAF37"/>
        <w:category>
          <w:name w:val="General"/>
          <w:gallery w:val="placeholder"/>
        </w:category>
        <w:types>
          <w:type w:val="bbPlcHdr"/>
        </w:types>
        <w:behaviors>
          <w:behavior w:val="content"/>
        </w:behaviors>
        <w:guid w:val="{704A4060-961A-4C6B-8495-C2A7A76469A4}"/>
      </w:docPartPr>
      <w:docPartBody>
        <w:p w:rsidR="00E24A73" w:rsidRDefault="00E24A73">
          <w:pPr>
            <w:pStyle w:val="2CD844AB6FAB423D96729CA9A06CAF37"/>
          </w:pPr>
          <w:r w:rsidRPr="005C44BE">
            <w:rPr>
              <w:rStyle w:val="PlaceholderText"/>
            </w:rPr>
            <w:t>Click or tap here to enter text.</w:t>
          </w:r>
        </w:p>
      </w:docPartBody>
    </w:docPart>
    <w:docPart>
      <w:docPartPr>
        <w:name w:val="AB32CF524CAE4D89B643C1492675D7F0"/>
        <w:category>
          <w:name w:val="General"/>
          <w:gallery w:val="placeholder"/>
        </w:category>
        <w:types>
          <w:type w:val="bbPlcHdr"/>
        </w:types>
        <w:behaviors>
          <w:behavior w:val="content"/>
        </w:behaviors>
        <w:guid w:val="{31E2DE12-3E70-42C9-94F1-2E1C9070DBD9}"/>
      </w:docPartPr>
      <w:docPartBody>
        <w:p w:rsidR="00E24A73" w:rsidRDefault="00E24A73">
          <w:pPr>
            <w:pStyle w:val="AB32CF524CAE4D89B643C1492675D7F0"/>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73"/>
    <w:rsid w:val="001C77CF"/>
    <w:rsid w:val="001D057D"/>
    <w:rsid w:val="0020457B"/>
    <w:rsid w:val="00216BC5"/>
    <w:rsid w:val="003921C2"/>
    <w:rsid w:val="003945C3"/>
    <w:rsid w:val="003C7A79"/>
    <w:rsid w:val="00475367"/>
    <w:rsid w:val="005F7725"/>
    <w:rsid w:val="007D357C"/>
    <w:rsid w:val="0085355B"/>
    <w:rsid w:val="009220CA"/>
    <w:rsid w:val="009B566A"/>
    <w:rsid w:val="00AB5D9F"/>
    <w:rsid w:val="00B001A6"/>
    <w:rsid w:val="00BB5803"/>
    <w:rsid w:val="00C31507"/>
    <w:rsid w:val="00C56EBC"/>
    <w:rsid w:val="00D219A3"/>
    <w:rsid w:val="00D36FB4"/>
    <w:rsid w:val="00E1504E"/>
    <w:rsid w:val="00E24A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FF04E473B543CAB19BDF7D1D9ACF93">
    <w:name w:val="4BFF04E473B543CAB19BDF7D1D9ACF93"/>
  </w:style>
  <w:style w:type="paragraph" w:customStyle="1" w:styleId="2CD844AB6FAB423D96729CA9A06CAF37">
    <w:name w:val="2CD844AB6FAB423D96729CA9A06CAF37"/>
  </w:style>
  <w:style w:type="paragraph" w:customStyle="1" w:styleId="AB32CF524CAE4D89B643C1492675D7F0">
    <w:name w:val="AB32CF524CAE4D89B643C1492675D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INPEX Operations Australia Pty Ltd v AkzoNobel NV (No 4) [2025] FCA 320</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22</Pages>
  <Words>7453</Words>
  <Characters>38543</Characters>
  <Application>Microsoft Office Word</Application>
  <DocSecurity>0</DocSecurity>
  <Lines>755</Lines>
  <Paragraphs>294</Paragraphs>
  <ScaleCrop>false</ScaleCrop>
  <HeadingPairs>
    <vt:vector size="2" baseType="variant">
      <vt:variant>
        <vt:lpstr>Title</vt:lpstr>
      </vt:variant>
      <vt:variant>
        <vt:i4>1</vt:i4>
      </vt:variant>
    </vt:vector>
  </HeadingPairs>
  <TitlesOfParts>
    <vt:vector size="1" baseType="lpstr">
      <vt:lpstr>INPEX Operations Australia Pty Ltd v AkzoNobel NV (No 4) [2025] FCA 320</vt:lpstr>
    </vt:vector>
  </TitlesOfParts>
  <Company>Federal Court of Australia</Company>
  <LinksUpToDate>false</LinksUpToDate>
  <CharactersWithSpaces>45702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INPEX Operations Australia Pty Ltd v AkzoNobel NV (No 4) [2025] FCA 320</dc:title>
  <dc:creator>Federal Court of Australia</dc:creator>
  <dc:description>v1.5</dc:description>
  <cp:lastModifiedBy>Federal Court of Australia</cp:lastModifiedBy>
  <cp:revision>4</cp:revision>
  <cp:lastPrinted>2025-04-04T02:43:00Z</cp:lastPrinted>
  <dcterms:created xsi:type="dcterms:W3CDTF">2025-04-07T04:31:00Z</dcterms:created>
  <dcterms:modified xsi:type="dcterms:W3CDTF">2025-04-07T04:33:00Z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Regulator and Consumer Protection</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